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C2" w:rsidRPr="000344F7" w:rsidRDefault="009F7DC2" w:rsidP="009F7DC2">
      <w:pPr>
        <w:pStyle w:val="En-tte"/>
        <w:spacing w:line="360" w:lineRule="auto"/>
        <w:rPr>
          <w:rFonts w:eastAsia="Arial Unicode MS"/>
          <w:b/>
          <w:bCs/>
        </w:rPr>
      </w:pPr>
      <w:bookmarkStart w:id="0" w:name="_GoBack"/>
      <w:bookmarkEnd w:id="0"/>
    </w:p>
    <w:p w:rsidR="009F7DC2" w:rsidRPr="000344F7" w:rsidRDefault="009F7DC2" w:rsidP="009F7DC2">
      <w:pPr>
        <w:spacing w:after="0" w:line="360" w:lineRule="auto"/>
        <w:ind w:left="-284" w:right="-284"/>
        <w:rPr>
          <w:rFonts w:eastAsia="Times New Roman"/>
          <w:b/>
          <w:szCs w:val="24"/>
        </w:rPr>
      </w:pPr>
      <w:r w:rsidRPr="000344F7">
        <w:rPr>
          <w:rFonts w:eastAsia="Times New Roman"/>
          <w:b/>
          <w:szCs w:val="24"/>
        </w:rPr>
        <w:t>MINISTERE DE L’ENERGIE ET DE L’EAU</w:t>
      </w:r>
      <w:r w:rsidRPr="000344F7">
        <w:rPr>
          <w:rFonts w:eastAsia="Times New Roman"/>
          <w:b/>
          <w:szCs w:val="24"/>
        </w:rPr>
        <w:tab/>
        <w:t xml:space="preserve">                           REPUBLIQUE DU MALI</w:t>
      </w:r>
    </w:p>
    <w:p w:rsidR="009F7DC2" w:rsidRPr="000344F7" w:rsidRDefault="009F7DC2" w:rsidP="009F7DC2">
      <w:pPr>
        <w:autoSpaceDE w:val="0"/>
        <w:autoSpaceDN w:val="0"/>
        <w:adjustRightInd w:val="0"/>
        <w:spacing w:after="0" w:line="360" w:lineRule="auto"/>
        <w:rPr>
          <w:b/>
          <w:szCs w:val="24"/>
        </w:rPr>
      </w:pPr>
      <w:r w:rsidRPr="000344F7">
        <w:rPr>
          <w:b/>
          <w:szCs w:val="24"/>
        </w:rPr>
        <w:t xml:space="preserve">                ----------------                                                                     Un peuple-Un but-Une foi</w:t>
      </w:r>
    </w:p>
    <w:p w:rsidR="009F7DC2" w:rsidRPr="000344F7" w:rsidRDefault="009F7DC2" w:rsidP="009F7DC2">
      <w:pPr>
        <w:autoSpaceDE w:val="0"/>
        <w:autoSpaceDN w:val="0"/>
        <w:adjustRightInd w:val="0"/>
        <w:spacing w:after="0" w:line="360" w:lineRule="auto"/>
        <w:rPr>
          <w:b/>
          <w:szCs w:val="24"/>
        </w:rPr>
      </w:pPr>
      <w:r w:rsidRPr="000344F7">
        <w:rPr>
          <w:b/>
          <w:szCs w:val="24"/>
        </w:rPr>
        <w:t xml:space="preserve">   SECRETARIAT GENERAL                                                                       ----------------</w:t>
      </w:r>
    </w:p>
    <w:p w:rsidR="009F7DC2" w:rsidRPr="000344F7" w:rsidRDefault="009F7DC2" w:rsidP="009F7DC2">
      <w:pPr>
        <w:autoSpaceDE w:val="0"/>
        <w:autoSpaceDN w:val="0"/>
        <w:adjustRightInd w:val="0"/>
        <w:spacing w:after="0" w:line="360" w:lineRule="auto"/>
        <w:rPr>
          <w:b/>
          <w:szCs w:val="24"/>
        </w:rPr>
      </w:pPr>
      <w:r w:rsidRPr="000344F7">
        <w:rPr>
          <w:b/>
          <w:szCs w:val="24"/>
        </w:rPr>
        <w:t xml:space="preserve">              -----------------                                                                                                                                                                                                                                                                                           </w:t>
      </w:r>
    </w:p>
    <w:p w:rsidR="009F7DC2" w:rsidRPr="000344F7" w:rsidRDefault="009F7DC2" w:rsidP="009F7DC2">
      <w:pPr>
        <w:spacing w:after="0" w:line="360" w:lineRule="auto"/>
        <w:ind w:left="-284" w:right="-284"/>
        <w:rPr>
          <w:rFonts w:eastAsia="Times New Roman"/>
          <w:b/>
          <w:szCs w:val="24"/>
        </w:rPr>
      </w:pPr>
      <w:r w:rsidRPr="000344F7">
        <w:rPr>
          <w:rFonts w:eastAsia="Times New Roman"/>
          <w:b/>
          <w:szCs w:val="24"/>
        </w:rPr>
        <w:t xml:space="preserve"> Agence des Energies Renouvelables du Mali (AER-MALI)                                                          </w:t>
      </w:r>
    </w:p>
    <w:p w:rsidR="009F7DC2" w:rsidRPr="000344F7" w:rsidRDefault="009F7DC2" w:rsidP="009F7DC2">
      <w:pPr>
        <w:tabs>
          <w:tab w:val="center" w:pos="4680"/>
          <w:tab w:val="right" w:pos="9360"/>
        </w:tabs>
        <w:spacing w:after="0" w:line="360" w:lineRule="auto"/>
        <w:ind w:left="-720" w:right="23"/>
        <w:rPr>
          <w:b/>
          <w:szCs w:val="24"/>
        </w:rPr>
      </w:pPr>
      <w:r w:rsidRPr="000344F7">
        <w:rPr>
          <w:b/>
          <w:szCs w:val="24"/>
        </w:rPr>
        <w:t xml:space="preserve">         </w:t>
      </w:r>
      <w:r w:rsidRPr="000344F7">
        <w:rPr>
          <w:b/>
          <w:szCs w:val="24"/>
          <w:u w:val="single"/>
        </w:rPr>
        <w:t>_________________________________________________________________________________</w:t>
      </w:r>
    </w:p>
    <w:p w:rsidR="009F7DC2" w:rsidRPr="000344F7" w:rsidRDefault="009F7DC2" w:rsidP="009F7DC2">
      <w:pPr>
        <w:spacing w:after="0" w:line="360" w:lineRule="auto"/>
        <w:rPr>
          <w:b/>
        </w:rPr>
      </w:pPr>
    </w:p>
    <w:p w:rsidR="009F7DC2" w:rsidRPr="000344F7" w:rsidRDefault="009F7DC2" w:rsidP="009F7DC2">
      <w:pPr>
        <w:spacing w:after="0" w:line="360" w:lineRule="auto"/>
        <w:jc w:val="center"/>
        <w:rPr>
          <w:b/>
        </w:rPr>
      </w:pPr>
    </w:p>
    <w:p w:rsidR="009F7DC2" w:rsidRPr="000344F7" w:rsidRDefault="009F7DC2" w:rsidP="009F7DC2">
      <w:pPr>
        <w:spacing w:after="0" w:line="360" w:lineRule="auto"/>
        <w:jc w:val="center"/>
        <w:rPr>
          <w:b/>
          <w:bCs/>
        </w:rPr>
      </w:pPr>
      <w:r w:rsidRPr="000344F7">
        <w:rPr>
          <w:b/>
          <w:bCs/>
        </w:rPr>
        <w:t xml:space="preserve">PROJET </w:t>
      </w:r>
      <w:r w:rsidRPr="000344F7">
        <w:rPr>
          <w:b/>
        </w:rPr>
        <w:t>D’ELECTRIFICATION PAR CENTRALES SOLAIRES PHOTOVOLTAÏQUES DE 70 VILLAGES AU MALI</w:t>
      </w:r>
    </w:p>
    <w:p w:rsidR="009F7DC2" w:rsidRDefault="009F7DC2">
      <w:pPr>
        <w:spacing w:after="160" w:line="259" w:lineRule="auto"/>
        <w:rPr>
          <w:rFonts w:ascii="Times New Roman" w:hAnsi="Times New Roman" w:cs="Times New Roman"/>
          <w:b/>
          <w:sz w:val="20"/>
          <w:szCs w:val="20"/>
        </w:rPr>
      </w:pPr>
    </w:p>
    <w:p w:rsidR="009F7DC2" w:rsidRDefault="009F7DC2">
      <w:pPr>
        <w:spacing w:after="160" w:line="259" w:lineRule="auto"/>
        <w:rPr>
          <w:rFonts w:ascii="Times New Roman" w:hAnsi="Times New Roman" w:cs="Times New Roman"/>
          <w:b/>
          <w:sz w:val="20"/>
          <w:szCs w:val="20"/>
        </w:rPr>
      </w:pPr>
    </w:p>
    <w:p w:rsidR="009F7DC2" w:rsidRDefault="009F7DC2">
      <w:pPr>
        <w:spacing w:after="160" w:line="259" w:lineRule="auto"/>
        <w:rPr>
          <w:rFonts w:ascii="Times New Roman" w:hAnsi="Times New Roman" w:cs="Times New Roman"/>
          <w:b/>
          <w:sz w:val="20"/>
          <w:szCs w:val="20"/>
        </w:rPr>
      </w:pPr>
    </w:p>
    <w:p w:rsidR="009F7DC2" w:rsidRDefault="009F7DC2" w:rsidP="009F7DC2">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PLAN D’ACTION GENRE</w:t>
      </w:r>
    </w:p>
    <w:p w:rsidR="009F7DC2" w:rsidRDefault="009F7DC2" w:rsidP="009F7DC2">
      <w:pPr>
        <w:spacing w:after="160" w:line="259" w:lineRule="auto"/>
        <w:jc w:val="center"/>
        <w:rPr>
          <w:rFonts w:ascii="Times New Roman" w:hAnsi="Times New Roman" w:cs="Times New Roman"/>
          <w:b/>
          <w:sz w:val="20"/>
          <w:szCs w:val="20"/>
        </w:rPr>
      </w:pPr>
    </w:p>
    <w:p w:rsidR="009F7DC2" w:rsidRDefault="009F7DC2" w:rsidP="009F7DC2">
      <w:pPr>
        <w:spacing w:after="160" w:line="259" w:lineRule="auto"/>
        <w:jc w:val="center"/>
        <w:rPr>
          <w:rFonts w:ascii="Times New Roman" w:hAnsi="Times New Roman" w:cs="Times New Roman"/>
          <w:b/>
          <w:sz w:val="20"/>
          <w:szCs w:val="20"/>
        </w:rPr>
      </w:pPr>
    </w:p>
    <w:p w:rsidR="009F7DC2" w:rsidRDefault="009F7DC2" w:rsidP="009F7DC2">
      <w:pPr>
        <w:spacing w:after="160" w:line="259" w:lineRule="auto"/>
        <w:jc w:val="center"/>
        <w:rPr>
          <w:rFonts w:ascii="Times New Roman" w:hAnsi="Times New Roman" w:cs="Times New Roman"/>
          <w:b/>
          <w:sz w:val="20"/>
          <w:szCs w:val="20"/>
        </w:rPr>
      </w:pPr>
    </w:p>
    <w:p w:rsidR="009F7DC2" w:rsidRDefault="009F7DC2" w:rsidP="009F7DC2">
      <w:pPr>
        <w:spacing w:after="160" w:line="259" w:lineRule="auto"/>
        <w:jc w:val="center"/>
        <w:rPr>
          <w:rFonts w:ascii="Times New Roman" w:hAnsi="Times New Roman" w:cs="Times New Roman"/>
          <w:b/>
          <w:sz w:val="20"/>
          <w:szCs w:val="20"/>
        </w:rPr>
      </w:pPr>
    </w:p>
    <w:p w:rsidR="009F7DC2" w:rsidRDefault="009F7DC2" w:rsidP="009F7DC2">
      <w:pPr>
        <w:spacing w:after="160" w:line="259" w:lineRule="auto"/>
        <w:jc w:val="center"/>
        <w:rPr>
          <w:rFonts w:ascii="Times New Roman" w:hAnsi="Times New Roman" w:cs="Times New Roman"/>
          <w:b/>
          <w:sz w:val="20"/>
          <w:szCs w:val="20"/>
        </w:rPr>
      </w:pPr>
    </w:p>
    <w:p w:rsidR="009F7DC2" w:rsidRDefault="009F7DC2" w:rsidP="009F7DC2">
      <w:pPr>
        <w:spacing w:after="160" w:line="259" w:lineRule="auto"/>
        <w:jc w:val="center"/>
        <w:rPr>
          <w:rFonts w:ascii="Times New Roman" w:hAnsi="Times New Roman" w:cs="Times New Roman"/>
          <w:b/>
          <w:sz w:val="20"/>
          <w:szCs w:val="20"/>
        </w:rPr>
      </w:pPr>
    </w:p>
    <w:p w:rsidR="009F7DC2" w:rsidRDefault="009F7DC2" w:rsidP="009F7DC2">
      <w:pPr>
        <w:spacing w:after="160" w:line="259" w:lineRule="auto"/>
        <w:jc w:val="center"/>
        <w:rPr>
          <w:rFonts w:ascii="Times New Roman" w:hAnsi="Times New Roman" w:cs="Times New Roman"/>
          <w:b/>
          <w:sz w:val="20"/>
          <w:szCs w:val="20"/>
        </w:rPr>
      </w:pPr>
    </w:p>
    <w:p w:rsidR="009F7DC2" w:rsidRDefault="009F7DC2" w:rsidP="009F7DC2">
      <w:pPr>
        <w:spacing w:after="160" w:line="259" w:lineRule="auto"/>
        <w:jc w:val="center"/>
        <w:rPr>
          <w:rFonts w:ascii="Times New Roman" w:hAnsi="Times New Roman" w:cs="Times New Roman"/>
          <w:b/>
          <w:sz w:val="20"/>
          <w:szCs w:val="20"/>
        </w:rPr>
      </w:pPr>
    </w:p>
    <w:p w:rsidR="009F7DC2" w:rsidRDefault="009F7DC2" w:rsidP="009F7DC2">
      <w:pPr>
        <w:spacing w:after="160" w:line="259" w:lineRule="auto"/>
        <w:jc w:val="center"/>
        <w:rPr>
          <w:rFonts w:ascii="Times New Roman" w:hAnsi="Times New Roman" w:cs="Times New Roman"/>
          <w:b/>
          <w:sz w:val="20"/>
          <w:szCs w:val="20"/>
        </w:rPr>
      </w:pPr>
    </w:p>
    <w:p w:rsidR="009F7DC2" w:rsidRDefault="009F7DC2" w:rsidP="009F7DC2">
      <w:pPr>
        <w:spacing w:after="160" w:line="259" w:lineRule="auto"/>
        <w:jc w:val="center"/>
        <w:rPr>
          <w:rFonts w:ascii="Times New Roman" w:hAnsi="Times New Roman" w:cs="Times New Roman"/>
          <w:b/>
          <w:sz w:val="20"/>
          <w:szCs w:val="20"/>
        </w:rPr>
      </w:pPr>
    </w:p>
    <w:p w:rsidR="009F7DC2" w:rsidRDefault="009F7DC2" w:rsidP="009F7DC2">
      <w:pPr>
        <w:spacing w:after="160" w:line="259" w:lineRule="auto"/>
        <w:jc w:val="center"/>
        <w:rPr>
          <w:rFonts w:ascii="Times New Roman" w:hAnsi="Times New Roman" w:cs="Times New Roman"/>
          <w:b/>
          <w:sz w:val="20"/>
          <w:szCs w:val="20"/>
        </w:rPr>
      </w:pPr>
    </w:p>
    <w:p w:rsidR="009F7DC2" w:rsidRDefault="009F7DC2" w:rsidP="009F7DC2">
      <w:pPr>
        <w:spacing w:after="160" w:line="259" w:lineRule="auto"/>
        <w:jc w:val="center"/>
        <w:rPr>
          <w:rFonts w:ascii="Times New Roman" w:hAnsi="Times New Roman" w:cs="Times New Roman"/>
          <w:b/>
          <w:sz w:val="20"/>
          <w:szCs w:val="20"/>
        </w:rPr>
      </w:pPr>
    </w:p>
    <w:p w:rsidR="009F7DC2" w:rsidRDefault="009F7DC2" w:rsidP="009F7DC2">
      <w:pPr>
        <w:spacing w:after="160" w:line="259" w:lineRule="auto"/>
        <w:jc w:val="center"/>
        <w:rPr>
          <w:rFonts w:ascii="Times New Roman" w:hAnsi="Times New Roman" w:cs="Times New Roman"/>
          <w:b/>
          <w:sz w:val="20"/>
          <w:szCs w:val="20"/>
        </w:rPr>
      </w:pPr>
    </w:p>
    <w:p w:rsidR="009F7DC2" w:rsidRDefault="009F7DC2" w:rsidP="009F7DC2">
      <w:pPr>
        <w:spacing w:after="160" w:line="259" w:lineRule="auto"/>
        <w:jc w:val="center"/>
        <w:rPr>
          <w:rFonts w:ascii="Times New Roman" w:hAnsi="Times New Roman" w:cs="Times New Roman"/>
          <w:b/>
          <w:sz w:val="20"/>
          <w:szCs w:val="20"/>
        </w:rPr>
      </w:pPr>
    </w:p>
    <w:p w:rsidR="009F7DC2" w:rsidRDefault="009F7DC2" w:rsidP="009F7DC2">
      <w:pPr>
        <w:spacing w:after="160" w:line="259" w:lineRule="auto"/>
        <w:jc w:val="center"/>
        <w:rPr>
          <w:rFonts w:ascii="Times New Roman" w:hAnsi="Times New Roman" w:cs="Times New Roman"/>
          <w:b/>
          <w:sz w:val="20"/>
          <w:szCs w:val="20"/>
        </w:rPr>
      </w:pPr>
    </w:p>
    <w:p w:rsidR="009F7DC2" w:rsidRDefault="009F7DC2" w:rsidP="009F7DC2">
      <w:pPr>
        <w:spacing w:after="160" w:line="259" w:lineRule="auto"/>
        <w:jc w:val="center"/>
        <w:rPr>
          <w:rFonts w:ascii="Times New Roman" w:hAnsi="Times New Roman" w:cs="Times New Roman"/>
          <w:b/>
          <w:sz w:val="20"/>
          <w:szCs w:val="20"/>
        </w:rPr>
      </w:pPr>
    </w:p>
    <w:p w:rsidR="009F7DC2" w:rsidRDefault="009F7DC2" w:rsidP="009F7DC2">
      <w:pPr>
        <w:spacing w:after="160" w:line="259" w:lineRule="auto"/>
        <w:jc w:val="center"/>
        <w:rPr>
          <w:rFonts w:ascii="Times New Roman" w:hAnsi="Times New Roman" w:cs="Times New Roman"/>
          <w:b/>
          <w:sz w:val="20"/>
          <w:szCs w:val="20"/>
        </w:rPr>
      </w:pPr>
    </w:p>
    <w:p w:rsidR="009F7DC2" w:rsidRDefault="009F7DC2" w:rsidP="009F7DC2">
      <w:pPr>
        <w:spacing w:after="160" w:line="259" w:lineRule="auto"/>
        <w:jc w:val="center"/>
        <w:rPr>
          <w:rFonts w:ascii="Times New Roman" w:hAnsi="Times New Roman" w:cs="Times New Roman"/>
          <w:b/>
          <w:sz w:val="20"/>
          <w:szCs w:val="20"/>
        </w:rPr>
      </w:pPr>
    </w:p>
    <w:p w:rsidR="009F7DC2" w:rsidRPr="009F7DC2" w:rsidRDefault="009F7DC2" w:rsidP="009F7DC2">
      <w:pPr>
        <w:spacing w:after="160" w:line="259" w:lineRule="auto"/>
        <w:jc w:val="right"/>
        <w:rPr>
          <w:rFonts w:ascii="Times New Roman" w:hAnsi="Times New Roman" w:cs="Times New Roman"/>
          <w:sz w:val="20"/>
          <w:szCs w:val="20"/>
        </w:rPr>
      </w:pPr>
      <w:r w:rsidRPr="009F7DC2">
        <w:rPr>
          <w:rFonts w:ascii="Times New Roman" w:hAnsi="Times New Roman" w:cs="Times New Roman"/>
          <w:sz w:val="20"/>
          <w:szCs w:val="20"/>
        </w:rPr>
        <w:t>Juin 2018</w:t>
      </w:r>
      <w:r w:rsidRPr="009F7DC2">
        <w:rPr>
          <w:rFonts w:ascii="Times New Roman" w:hAnsi="Times New Roman" w:cs="Times New Roman"/>
          <w:sz w:val="20"/>
          <w:szCs w:val="20"/>
        </w:rPr>
        <w:br w:type="page"/>
      </w:r>
    </w:p>
    <w:p w:rsidR="007C4220" w:rsidRDefault="007C4220" w:rsidP="002D5316">
      <w:pPr>
        <w:jc w:val="center"/>
      </w:pPr>
    </w:p>
    <w:sdt>
      <w:sdtPr>
        <w:rPr>
          <w:rFonts w:asciiTheme="minorHAnsi" w:eastAsiaTheme="minorEastAsia" w:hAnsiTheme="minorHAnsi" w:cstheme="minorBidi"/>
          <w:color w:val="auto"/>
          <w:sz w:val="22"/>
          <w:szCs w:val="22"/>
        </w:rPr>
        <w:id w:val="1019119201"/>
        <w:docPartObj>
          <w:docPartGallery w:val="Table of Contents"/>
          <w:docPartUnique/>
        </w:docPartObj>
      </w:sdtPr>
      <w:sdtEndPr>
        <w:rPr>
          <w:b/>
          <w:bCs/>
        </w:rPr>
      </w:sdtEndPr>
      <w:sdtContent>
        <w:p w:rsidR="001477F6" w:rsidRDefault="001477F6">
          <w:pPr>
            <w:pStyle w:val="En-ttedetabledesmatires"/>
          </w:pPr>
          <w:r>
            <w:t>Table des matières</w:t>
          </w:r>
        </w:p>
        <w:p w:rsidR="001477F6" w:rsidRDefault="001477F6">
          <w:pPr>
            <w:pStyle w:val="TM1"/>
            <w:tabs>
              <w:tab w:val="right" w:leader="dot" w:pos="9488"/>
            </w:tabs>
            <w:rPr>
              <w:noProof/>
            </w:rPr>
          </w:pPr>
          <w:r>
            <w:fldChar w:fldCharType="begin"/>
          </w:r>
          <w:r>
            <w:instrText xml:space="preserve"> TOC \o "1-3" \h \z \u </w:instrText>
          </w:r>
          <w:r>
            <w:fldChar w:fldCharType="separate"/>
          </w:r>
          <w:hyperlink w:anchor="_Toc517278975" w:history="1">
            <w:r w:rsidRPr="00CD4E9C">
              <w:rPr>
                <w:rStyle w:val="Lienhypertexte"/>
                <w:rFonts w:eastAsia="Calibri"/>
                <w:noProof/>
              </w:rPr>
              <w:t>INTRODUCTION</w:t>
            </w:r>
            <w:r>
              <w:rPr>
                <w:noProof/>
                <w:webHidden/>
              </w:rPr>
              <w:tab/>
            </w:r>
            <w:r>
              <w:rPr>
                <w:noProof/>
                <w:webHidden/>
              </w:rPr>
              <w:fldChar w:fldCharType="begin"/>
            </w:r>
            <w:r>
              <w:rPr>
                <w:noProof/>
                <w:webHidden/>
              </w:rPr>
              <w:instrText xml:space="preserve"> PAGEREF _Toc517278975 \h </w:instrText>
            </w:r>
            <w:r>
              <w:rPr>
                <w:noProof/>
                <w:webHidden/>
              </w:rPr>
            </w:r>
            <w:r>
              <w:rPr>
                <w:noProof/>
                <w:webHidden/>
              </w:rPr>
              <w:fldChar w:fldCharType="separate"/>
            </w:r>
            <w:r>
              <w:rPr>
                <w:noProof/>
                <w:webHidden/>
              </w:rPr>
              <w:t>1</w:t>
            </w:r>
            <w:r>
              <w:rPr>
                <w:noProof/>
                <w:webHidden/>
              </w:rPr>
              <w:fldChar w:fldCharType="end"/>
            </w:r>
          </w:hyperlink>
        </w:p>
        <w:p w:rsidR="001477F6" w:rsidRDefault="00A4031A">
          <w:pPr>
            <w:pStyle w:val="TM1"/>
            <w:tabs>
              <w:tab w:val="left" w:pos="440"/>
              <w:tab w:val="right" w:leader="dot" w:pos="9488"/>
            </w:tabs>
            <w:rPr>
              <w:noProof/>
            </w:rPr>
          </w:pPr>
          <w:hyperlink w:anchor="_Toc517278976" w:history="1">
            <w:r w:rsidR="001477F6" w:rsidRPr="00CD4E9C">
              <w:rPr>
                <w:rStyle w:val="Lienhypertexte"/>
                <w:noProof/>
              </w:rPr>
              <w:t>I.</w:t>
            </w:r>
            <w:r w:rsidR="001477F6">
              <w:rPr>
                <w:noProof/>
              </w:rPr>
              <w:tab/>
            </w:r>
            <w:r w:rsidR="001477F6" w:rsidRPr="00CD4E9C">
              <w:rPr>
                <w:rStyle w:val="Lienhypertexte"/>
                <w:noProof/>
              </w:rPr>
              <w:t>APERÇU SUR LA POLITIQUE NATIONALE GENRE DU MALI</w:t>
            </w:r>
            <w:r w:rsidR="001477F6">
              <w:rPr>
                <w:noProof/>
                <w:webHidden/>
              </w:rPr>
              <w:tab/>
            </w:r>
            <w:r w:rsidR="001477F6">
              <w:rPr>
                <w:noProof/>
                <w:webHidden/>
              </w:rPr>
              <w:fldChar w:fldCharType="begin"/>
            </w:r>
            <w:r w:rsidR="001477F6">
              <w:rPr>
                <w:noProof/>
                <w:webHidden/>
              </w:rPr>
              <w:instrText xml:space="preserve"> PAGEREF _Toc517278976 \h </w:instrText>
            </w:r>
            <w:r w:rsidR="001477F6">
              <w:rPr>
                <w:noProof/>
                <w:webHidden/>
              </w:rPr>
            </w:r>
            <w:r w:rsidR="001477F6">
              <w:rPr>
                <w:noProof/>
                <w:webHidden/>
              </w:rPr>
              <w:fldChar w:fldCharType="separate"/>
            </w:r>
            <w:r w:rsidR="001477F6">
              <w:rPr>
                <w:noProof/>
                <w:webHidden/>
              </w:rPr>
              <w:t>2</w:t>
            </w:r>
            <w:r w:rsidR="001477F6">
              <w:rPr>
                <w:noProof/>
                <w:webHidden/>
              </w:rPr>
              <w:fldChar w:fldCharType="end"/>
            </w:r>
          </w:hyperlink>
        </w:p>
        <w:p w:rsidR="001477F6" w:rsidRDefault="00A4031A">
          <w:pPr>
            <w:pStyle w:val="TM1"/>
            <w:tabs>
              <w:tab w:val="right" w:leader="dot" w:pos="9488"/>
            </w:tabs>
            <w:rPr>
              <w:noProof/>
            </w:rPr>
          </w:pPr>
          <w:hyperlink w:anchor="_Toc517278977" w:history="1">
            <w:r w:rsidR="001477F6" w:rsidRPr="00CD4E9C">
              <w:rPr>
                <w:rStyle w:val="Lienhypertexte"/>
                <w:rFonts w:ascii="Times New Roman" w:hAnsi="Times New Roman"/>
                <w:noProof/>
              </w:rPr>
              <w:t>Cet aperçu est un rappel des points saillants de la politique dont : a vision, les orientations stratégiques</w:t>
            </w:r>
            <w:r w:rsidR="001477F6">
              <w:rPr>
                <w:noProof/>
                <w:webHidden/>
              </w:rPr>
              <w:tab/>
            </w:r>
            <w:r w:rsidR="001477F6">
              <w:rPr>
                <w:noProof/>
                <w:webHidden/>
              </w:rPr>
              <w:fldChar w:fldCharType="begin"/>
            </w:r>
            <w:r w:rsidR="001477F6">
              <w:rPr>
                <w:noProof/>
                <w:webHidden/>
              </w:rPr>
              <w:instrText xml:space="preserve"> PAGEREF _Toc517278977 \h </w:instrText>
            </w:r>
            <w:r w:rsidR="001477F6">
              <w:rPr>
                <w:noProof/>
                <w:webHidden/>
              </w:rPr>
            </w:r>
            <w:r w:rsidR="001477F6">
              <w:rPr>
                <w:noProof/>
                <w:webHidden/>
              </w:rPr>
              <w:fldChar w:fldCharType="separate"/>
            </w:r>
            <w:r w:rsidR="001477F6">
              <w:rPr>
                <w:noProof/>
                <w:webHidden/>
              </w:rPr>
              <w:t>2</w:t>
            </w:r>
            <w:r w:rsidR="001477F6">
              <w:rPr>
                <w:noProof/>
                <w:webHidden/>
              </w:rPr>
              <w:fldChar w:fldCharType="end"/>
            </w:r>
          </w:hyperlink>
        </w:p>
        <w:p w:rsidR="001477F6" w:rsidRDefault="00A4031A">
          <w:pPr>
            <w:pStyle w:val="TM1"/>
            <w:tabs>
              <w:tab w:val="left" w:pos="440"/>
              <w:tab w:val="right" w:leader="dot" w:pos="9488"/>
            </w:tabs>
            <w:rPr>
              <w:noProof/>
            </w:rPr>
          </w:pPr>
          <w:hyperlink w:anchor="_Toc517278978" w:history="1">
            <w:r w:rsidR="001477F6" w:rsidRPr="00CD4E9C">
              <w:rPr>
                <w:rStyle w:val="Lienhypertexte"/>
                <w:noProof/>
              </w:rPr>
              <w:t>II.</w:t>
            </w:r>
            <w:r w:rsidR="001477F6">
              <w:rPr>
                <w:noProof/>
              </w:rPr>
              <w:tab/>
            </w:r>
            <w:r w:rsidR="001477F6" w:rsidRPr="00CD4E9C">
              <w:rPr>
                <w:rStyle w:val="Lienhypertexte"/>
                <w:noProof/>
              </w:rPr>
              <w:t>CONTEXTE ET JUSTIFICATION</w:t>
            </w:r>
            <w:r w:rsidR="001477F6">
              <w:rPr>
                <w:noProof/>
                <w:webHidden/>
              </w:rPr>
              <w:tab/>
            </w:r>
            <w:r w:rsidR="001477F6">
              <w:rPr>
                <w:noProof/>
                <w:webHidden/>
              </w:rPr>
              <w:fldChar w:fldCharType="begin"/>
            </w:r>
            <w:r w:rsidR="001477F6">
              <w:rPr>
                <w:noProof/>
                <w:webHidden/>
              </w:rPr>
              <w:instrText xml:space="preserve"> PAGEREF _Toc517278978 \h </w:instrText>
            </w:r>
            <w:r w:rsidR="001477F6">
              <w:rPr>
                <w:noProof/>
                <w:webHidden/>
              </w:rPr>
            </w:r>
            <w:r w:rsidR="001477F6">
              <w:rPr>
                <w:noProof/>
                <w:webHidden/>
              </w:rPr>
              <w:fldChar w:fldCharType="separate"/>
            </w:r>
            <w:r w:rsidR="001477F6">
              <w:rPr>
                <w:noProof/>
                <w:webHidden/>
              </w:rPr>
              <w:t>3</w:t>
            </w:r>
            <w:r w:rsidR="001477F6">
              <w:rPr>
                <w:noProof/>
                <w:webHidden/>
              </w:rPr>
              <w:fldChar w:fldCharType="end"/>
            </w:r>
          </w:hyperlink>
        </w:p>
        <w:p w:rsidR="001477F6" w:rsidRDefault="00A4031A">
          <w:pPr>
            <w:pStyle w:val="TM2"/>
            <w:tabs>
              <w:tab w:val="left" w:pos="880"/>
              <w:tab w:val="right" w:leader="dot" w:pos="9488"/>
            </w:tabs>
            <w:rPr>
              <w:noProof/>
            </w:rPr>
          </w:pPr>
          <w:hyperlink w:anchor="_Toc517278979" w:history="1">
            <w:r w:rsidR="001477F6" w:rsidRPr="00CD4E9C">
              <w:rPr>
                <w:rStyle w:val="Lienhypertexte"/>
                <w:noProof/>
              </w:rPr>
              <w:t>2.1.</w:t>
            </w:r>
            <w:r w:rsidR="001477F6">
              <w:rPr>
                <w:noProof/>
              </w:rPr>
              <w:tab/>
            </w:r>
            <w:r w:rsidR="001477F6" w:rsidRPr="00CD4E9C">
              <w:rPr>
                <w:rStyle w:val="Lienhypertexte"/>
                <w:noProof/>
              </w:rPr>
              <w:t>OBJECTIF GENERAL</w:t>
            </w:r>
            <w:r w:rsidR="001477F6">
              <w:rPr>
                <w:noProof/>
                <w:webHidden/>
              </w:rPr>
              <w:tab/>
            </w:r>
            <w:r w:rsidR="001477F6">
              <w:rPr>
                <w:noProof/>
                <w:webHidden/>
              </w:rPr>
              <w:fldChar w:fldCharType="begin"/>
            </w:r>
            <w:r w:rsidR="001477F6">
              <w:rPr>
                <w:noProof/>
                <w:webHidden/>
              </w:rPr>
              <w:instrText xml:space="preserve"> PAGEREF _Toc517278979 \h </w:instrText>
            </w:r>
            <w:r w:rsidR="001477F6">
              <w:rPr>
                <w:noProof/>
                <w:webHidden/>
              </w:rPr>
            </w:r>
            <w:r w:rsidR="001477F6">
              <w:rPr>
                <w:noProof/>
                <w:webHidden/>
              </w:rPr>
              <w:fldChar w:fldCharType="separate"/>
            </w:r>
            <w:r w:rsidR="001477F6">
              <w:rPr>
                <w:noProof/>
                <w:webHidden/>
              </w:rPr>
              <w:t>4</w:t>
            </w:r>
            <w:r w:rsidR="001477F6">
              <w:rPr>
                <w:noProof/>
                <w:webHidden/>
              </w:rPr>
              <w:fldChar w:fldCharType="end"/>
            </w:r>
          </w:hyperlink>
        </w:p>
        <w:p w:rsidR="001477F6" w:rsidRDefault="00A4031A">
          <w:pPr>
            <w:pStyle w:val="TM2"/>
            <w:tabs>
              <w:tab w:val="left" w:pos="880"/>
              <w:tab w:val="right" w:leader="dot" w:pos="9488"/>
            </w:tabs>
            <w:rPr>
              <w:noProof/>
            </w:rPr>
          </w:pPr>
          <w:hyperlink w:anchor="_Toc517278980" w:history="1">
            <w:r w:rsidR="001477F6" w:rsidRPr="00CD4E9C">
              <w:rPr>
                <w:rStyle w:val="Lienhypertexte"/>
                <w:noProof/>
              </w:rPr>
              <w:t>2.2.</w:t>
            </w:r>
            <w:r w:rsidR="001477F6">
              <w:rPr>
                <w:noProof/>
              </w:rPr>
              <w:tab/>
            </w:r>
            <w:r w:rsidR="001477F6" w:rsidRPr="00CD4E9C">
              <w:rPr>
                <w:rStyle w:val="Lienhypertexte"/>
                <w:noProof/>
              </w:rPr>
              <w:t>CADRE D’ORIENTATION STRATEGIQUE DES ACTIONS VISANT L’INTEGRATION DU GENRE DANS LE PROJET</w:t>
            </w:r>
            <w:r w:rsidR="001477F6">
              <w:rPr>
                <w:noProof/>
                <w:webHidden/>
              </w:rPr>
              <w:tab/>
            </w:r>
            <w:r w:rsidR="001477F6">
              <w:rPr>
                <w:noProof/>
                <w:webHidden/>
              </w:rPr>
              <w:fldChar w:fldCharType="begin"/>
            </w:r>
            <w:r w:rsidR="001477F6">
              <w:rPr>
                <w:noProof/>
                <w:webHidden/>
              </w:rPr>
              <w:instrText xml:space="preserve"> PAGEREF _Toc517278980 \h </w:instrText>
            </w:r>
            <w:r w:rsidR="001477F6">
              <w:rPr>
                <w:noProof/>
                <w:webHidden/>
              </w:rPr>
            </w:r>
            <w:r w:rsidR="001477F6">
              <w:rPr>
                <w:noProof/>
                <w:webHidden/>
              </w:rPr>
              <w:fldChar w:fldCharType="separate"/>
            </w:r>
            <w:r w:rsidR="001477F6">
              <w:rPr>
                <w:noProof/>
                <w:webHidden/>
              </w:rPr>
              <w:t>5</w:t>
            </w:r>
            <w:r w:rsidR="001477F6">
              <w:rPr>
                <w:noProof/>
                <w:webHidden/>
              </w:rPr>
              <w:fldChar w:fldCharType="end"/>
            </w:r>
          </w:hyperlink>
        </w:p>
        <w:p w:rsidR="001477F6" w:rsidRDefault="00A4031A">
          <w:pPr>
            <w:pStyle w:val="TM2"/>
            <w:tabs>
              <w:tab w:val="right" w:leader="dot" w:pos="9488"/>
            </w:tabs>
            <w:rPr>
              <w:noProof/>
            </w:rPr>
          </w:pPr>
          <w:hyperlink w:anchor="_Toc517278981" w:history="1">
            <w:r w:rsidR="001477F6" w:rsidRPr="00CD4E9C">
              <w:rPr>
                <w:rStyle w:val="Lienhypertexte"/>
                <w:rFonts w:ascii="Times New Roman" w:hAnsi="Times New Roman"/>
                <w:noProof/>
              </w:rPr>
              <w:t>Principaux axes stratégiques de prise en compte du genre</w:t>
            </w:r>
            <w:r w:rsidR="001477F6">
              <w:rPr>
                <w:noProof/>
                <w:webHidden/>
              </w:rPr>
              <w:tab/>
            </w:r>
            <w:r w:rsidR="001477F6">
              <w:rPr>
                <w:noProof/>
                <w:webHidden/>
              </w:rPr>
              <w:fldChar w:fldCharType="begin"/>
            </w:r>
            <w:r w:rsidR="001477F6">
              <w:rPr>
                <w:noProof/>
                <w:webHidden/>
              </w:rPr>
              <w:instrText xml:space="preserve"> PAGEREF _Toc517278981 \h </w:instrText>
            </w:r>
            <w:r w:rsidR="001477F6">
              <w:rPr>
                <w:noProof/>
                <w:webHidden/>
              </w:rPr>
            </w:r>
            <w:r w:rsidR="001477F6">
              <w:rPr>
                <w:noProof/>
                <w:webHidden/>
              </w:rPr>
              <w:fldChar w:fldCharType="separate"/>
            </w:r>
            <w:r w:rsidR="001477F6">
              <w:rPr>
                <w:noProof/>
                <w:webHidden/>
              </w:rPr>
              <w:t>5</w:t>
            </w:r>
            <w:r w:rsidR="001477F6">
              <w:rPr>
                <w:noProof/>
                <w:webHidden/>
              </w:rPr>
              <w:fldChar w:fldCharType="end"/>
            </w:r>
          </w:hyperlink>
        </w:p>
        <w:p w:rsidR="001477F6" w:rsidRDefault="00A4031A">
          <w:pPr>
            <w:pStyle w:val="TM2"/>
            <w:tabs>
              <w:tab w:val="left" w:pos="660"/>
              <w:tab w:val="right" w:leader="dot" w:pos="9488"/>
            </w:tabs>
            <w:rPr>
              <w:noProof/>
            </w:rPr>
          </w:pPr>
          <w:hyperlink w:anchor="_Toc517278982" w:history="1">
            <w:r w:rsidR="001477F6" w:rsidRPr="00CD4E9C">
              <w:rPr>
                <w:rStyle w:val="Lienhypertexte"/>
                <w:rFonts w:ascii="Times New Roman" w:hAnsi="Times New Roman"/>
                <w:noProof/>
              </w:rPr>
              <w:t>A.</w:t>
            </w:r>
            <w:r w:rsidR="001477F6">
              <w:rPr>
                <w:noProof/>
              </w:rPr>
              <w:tab/>
            </w:r>
            <w:r w:rsidR="001477F6" w:rsidRPr="00CD4E9C">
              <w:rPr>
                <w:rStyle w:val="Lienhypertexte"/>
                <w:rFonts w:ascii="Times New Roman" w:hAnsi="Times New Roman"/>
                <w:noProof/>
              </w:rPr>
              <w:t>Gouvernance institutionnelle et organisationnelle du projet</w:t>
            </w:r>
            <w:r w:rsidR="001477F6">
              <w:rPr>
                <w:noProof/>
                <w:webHidden/>
              </w:rPr>
              <w:tab/>
            </w:r>
            <w:r w:rsidR="001477F6">
              <w:rPr>
                <w:noProof/>
                <w:webHidden/>
              </w:rPr>
              <w:fldChar w:fldCharType="begin"/>
            </w:r>
            <w:r w:rsidR="001477F6">
              <w:rPr>
                <w:noProof/>
                <w:webHidden/>
              </w:rPr>
              <w:instrText xml:space="preserve"> PAGEREF _Toc517278982 \h </w:instrText>
            </w:r>
            <w:r w:rsidR="001477F6">
              <w:rPr>
                <w:noProof/>
                <w:webHidden/>
              </w:rPr>
            </w:r>
            <w:r w:rsidR="001477F6">
              <w:rPr>
                <w:noProof/>
                <w:webHidden/>
              </w:rPr>
              <w:fldChar w:fldCharType="separate"/>
            </w:r>
            <w:r w:rsidR="001477F6">
              <w:rPr>
                <w:noProof/>
                <w:webHidden/>
              </w:rPr>
              <w:t>5</w:t>
            </w:r>
            <w:r w:rsidR="001477F6">
              <w:rPr>
                <w:noProof/>
                <w:webHidden/>
              </w:rPr>
              <w:fldChar w:fldCharType="end"/>
            </w:r>
          </w:hyperlink>
        </w:p>
        <w:p w:rsidR="001477F6" w:rsidRDefault="00A4031A">
          <w:pPr>
            <w:pStyle w:val="TM2"/>
            <w:tabs>
              <w:tab w:val="left" w:pos="660"/>
              <w:tab w:val="right" w:leader="dot" w:pos="9488"/>
            </w:tabs>
            <w:rPr>
              <w:noProof/>
            </w:rPr>
          </w:pPr>
          <w:hyperlink w:anchor="_Toc517278983" w:history="1">
            <w:r w:rsidR="001477F6" w:rsidRPr="00CD4E9C">
              <w:rPr>
                <w:rStyle w:val="Lienhypertexte"/>
                <w:rFonts w:ascii="Times New Roman" w:hAnsi="Times New Roman"/>
                <w:noProof/>
              </w:rPr>
              <w:t>B.</w:t>
            </w:r>
            <w:r w:rsidR="001477F6">
              <w:rPr>
                <w:noProof/>
              </w:rPr>
              <w:tab/>
            </w:r>
            <w:r w:rsidR="001477F6" w:rsidRPr="00CD4E9C">
              <w:rPr>
                <w:rStyle w:val="Lienhypertexte"/>
                <w:rFonts w:ascii="Times New Roman" w:hAnsi="Times New Roman"/>
                <w:noProof/>
              </w:rPr>
              <w:t>Participation-Genre dans la mise en œuvre du projet</w:t>
            </w:r>
            <w:r w:rsidR="001477F6">
              <w:rPr>
                <w:noProof/>
                <w:webHidden/>
              </w:rPr>
              <w:tab/>
            </w:r>
            <w:r w:rsidR="001477F6">
              <w:rPr>
                <w:noProof/>
                <w:webHidden/>
              </w:rPr>
              <w:fldChar w:fldCharType="begin"/>
            </w:r>
            <w:r w:rsidR="001477F6">
              <w:rPr>
                <w:noProof/>
                <w:webHidden/>
              </w:rPr>
              <w:instrText xml:space="preserve"> PAGEREF _Toc517278983 \h </w:instrText>
            </w:r>
            <w:r w:rsidR="001477F6">
              <w:rPr>
                <w:noProof/>
                <w:webHidden/>
              </w:rPr>
            </w:r>
            <w:r w:rsidR="001477F6">
              <w:rPr>
                <w:noProof/>
                <w:webHidden/>
              </w:rPr>
              <w:fldChar w:fldCharType="separate"/>
            </w:r>
            <w:r w:rsidR="001477F6">
              <w:rPr>
                <w:noProof/>
                <w:webHidden/>
              </w:rPr>
              <w:t>5</w:t>
            </w:r>
            <w:r w:rsidR="001477F6">
              <w:rPr>
                <w:noProof/>
                <w:webHidden/>
              </w:rPr>
              <w:fldChar w:fldCharType="end"/>
            </w:r>
          </w:hyperlink>
        </w:p>
        <w:p w:rsidR="001477F6" w:rsidRDefault="00A4031A">
          <w:pPr>
            <w:pStyle w:val="TM2"/>
            <w:tabs>
              <w:tab w:val="right" w:leader="dot" w:pos="9488"/>
            </w:tabs>
            <w:rPr>
              <w:noProof/>
            </w:rPr>
          </w:pPr>
          <w:hyperlink w:anchor="_Toc517278984" w:history="1">
            <w:r w:rsidR="001477F6" w:rsidRPr="00CD4E9C">
              <w:rPr>
                <w:rStyle w:val="Lienhypertexte"/>
                <w:rFonts w:ascii="Times New Roman" w:hAnsi="Times New Roman"/>
                <w:noProof/>
              </w:rPr>
              <w:t>Niveau du projet : il s’agit de renforcer le partenariat avec les autres intervenants ce qui favoriserait la mobilisation des personnels à s’engager pour l’atteinte des résultats escomptés.</w:t>
            </w:r>
            <w:r w:rsidR="001477F6">
              <w:rPr>
                <w:noProof/>
                <w:webHidden/>
              </w:rPr>
              <w:tab/>
            </w:r>
            <w:r w:rsidR="001477F6">
              <w:rPr>
                <w:noProof/>
                <w:webHidden/>
              </w:rPr>
              <w:fldChar w:fldCharType="begin"/>
            </w:r>
            <w:r w:rsidR="001477F6">
              <w:rPr>
                <w:noProof/>
                <w:webHidden/>
              </w:rPr>
              <w:instrText xml:space="preserve"> PAGEREF _Toc517278984 \h </w:instrText>
            </w:r>
            <w:r w:rsidR="001477F6">
              <w:rPr>
                <w:noProof/>
                <w:webHidden/>
              </w:rPr>
            </w:r>
            <w:r w:rsidR="001477F6">
              <w:rPr>
                <w:noProof/>
                <w:webHidden/>
              </w:rPr>
              <w:fldChar w:fldCharType="separate"/>
            </w:r>
            <w:r w:rsidR="001477F6">
              <w:rPr>
                <w:noProof/>
                <w:webHidden/>
              </w:rPr>
              <w:t>6</w:t>
            </w:r>
            <w:r w:rsidR="001477F6">
              <w:rPr>
                <w:noProof/>
                <w:webHidden/>
              </w:rPr>
              <w:fldChar w:fldCharType="end"/>
            </w:r>
          </w:hyperlink>
        </w:p>
        <w:p w:rsidR="001477F6" w:rsidRDefault="00A4031A">
          <w:pPr>
            <w:pStyle w:val="TM2"/>
            <w:tabs>
              <w:tab w:val="left" w:pos="660"/>
              <w:tab w:val="right" w:leader="dot" w:pos="9488"/>
            </w:tabs>
            <w:rPr>
              <w:noProof/>
            </w:rPr>
          </w:pPr>
          <w:hyperlink w:anchor="_Toc517278985" w:history="1">
            <w:r w:rsidR="001477F6" w:rsidRPr="00CD4E9C">
              <w:rPr>
                <w:rStyle w:val="Lienhypertexte"/>
                <w:rFonts w:ascii="Times New Roman" w:hAnsi="Times New Roman"/>
                <w:noProof/>
              </w:rPr>
              <w:t>C.</w:t>
            </w:r>
            <w:r w:rsidR="001477F6">
              <w:rPr>
                <w:noProof/>
              </w:rPr>
              <w:tab/>
            </w:r>
            <w:r w:rsidR="001477F6" w:rsidRPr="00CD4E9C">
              <w:rPr>
                <w:rStyle w:val="Lienhypertexte"/>
                <w:rFonts w:ascii="Times New Roman" w:hAnsi="Times New Roman"/>
                <w:noProof/>
              </w:rPr>
              <w:t>Amélioration de l’accessibilité du GED dans le projet</w:t>
            </w:r>
            <w:r w:rsidR="001477F6">
              <w:rPr>
                <w:noProof/>
                <w:webHidden/>
              </w:rPr>
              <w:tab/>
            </w:r>
            <w:r w:rsidR="001477F6">
              <w:rPr>
                <w:noProof/>
                <w:webHidden/>
              </w:rPr>
              <w:fldChar w:fldCharType="begin"/>
            </w:r>
            <w:r w:rsidR="001477F6">
              <w:rPr>
                <w:noProof/>
                <w:webHidden/>
              </w:rPr>
              <w:instrText xml:space="preserve"> PAGEREF _Toc517278985 \h </w:instrText>
            </w:r>
            <w:r w:rsidR="001477F6">
              <w:rPr>
                <w:noProof/>
                <w:webHidden/>
              </w:rPr>
            </w:r>
            <w:r w:rsidR="001477F6">
              <w:rPr>
                <w:noProof/>
                <w:webHidden/>
              </w:rPr>
              <w:fldChar w:fldCharType="separate"/>
            </w:r>
            <w:r w:rsidR="001477F6">
              <w:rPr>
                <w:noProof/>
                <w:webHidden/>
              </w:rPr>
              <w:t>6</w:t>
            </w:r>
            <w:r w:rsidR="001477F6">
              <w:rPr>
                <w:noProof/>
                <w:webHidden/>
              </w:rPr>
              <w:fldChar w:fldCharType="end"/>
            </w:r>
          </w:hyperlink>
        </w:p>
        <w:p w:rsidR="001477F6" w:rsidRDefault="00A4031A">
          <w:pPr>
            <w:pStyle w:val="TM2"/>
            <w:tabs>
              <w:tab w:val="left" w:pos="660"/>
              <w:tab w:val="right" w:leader="dot" w:pos="9488"/>
            </w:tabs>
            <w:rPr>
              <w:noProof/>
            </w:rPr>
          </w:pPr>
          <w:hyperlink w:anchor="_Toc517278986" w:history="1">
            <w:r w:rsidR="001477F6" w:rsidRPr="00CD4E9C">
              <w:rPr>
                <w:rStyle w:val="Lienhypertexte"/>
                <w:rFonts w:ascii="Times New Roman" w:hAnsi="Times New Roman"/>
                <w:noProof/>
              </w:rPr>
              <w:t>D.</w:t>
            </w:r>
            <w:r w:rsidR="001477F6">
              <w:rPr>
                <w:noProof/>
              </w:rPr>
              <w:tab/>
            </w:r>
            <w:r w:rsidR="001477F6" w:rsidRPr="00CD4E9C">
              <w:rPr>
                <w:rStyle w:val="Lienhypertexte"/>
                <w:rFonts w:ascii="Times New Roman" w:hAnsi="Times New Roman"/>
                <w:noProof/>
              </w:rPr>
              <w:t>Information/Communication du Genre dans les Programmes de l’ANICT</w:t>
            </w:r>
            <w:r w:rsidR="001477F6">
              <w:rPr>
                <w:noProof/>
                <w:webHidden/>
              </w:rPr>
              <w:tab/>
            </w:r>
            <w:r w:rsidR="001477F6">
              <w:rPr>
                <w:noProof/>
                <w:webHidden/>
              </w:rPr>
              <w:fldChar w:fldCharType="begin"/>
            </w:r>
            <w:r w:rsidR="001477F6">
              <w:rPr>
                <w:noProof/>
                <w:webHidden/>
              </w:rPr>
              <w:instrText xml:space="preserve"> PAGEREF _Toc517278986 \h </w:instrText>
            </w:r>
            <w:r w:rsidR="001477F6">
              <w:rPr>
                <w:noProof/>
                <w:webHidden/>
              </w:rPr>
            </w:r>
            <w:r w:rsidR="001477F6">
              <w:rPr>
                <w:noProof/>
                <w:webHidden/>
              </w:rPr>
              <w:fldChar w:fldCharType="separate"/>
            </w:r>
            <w:r w:rsidR="001477F6">
              <w:rPr>
                <w:noProof/>
                <w:webHidden/>
              </w:rPr>
              <w:t>6</w:t>
            </w:r>
            <w:r w:rsidR="001477F6">
              <w:rPr>
                <w:noProof/>
                <w:webHidden/>
              </w:rPr>
              <w:fldChar w:fldCharType="end"/>
            </w:r>
          </w:hyperlink>
        </w:p>
        <w:p w:rsidR="001477F6" w:rsidRDefault="00A4031A">
          <w:pPr>
            <w:pStyle w:val="TM1"/>
            <w:tabs>
              <w:tab w:val="left" w:pos="660"/>
              <w:tab w:val="right" w:leader="dot" w:pos="9488"/>
            </w:tabs>
            <w:rPr>
              <w:noProof/>
            </w:rPr>
          </w:pPr>
          <w:hyperlink w:anchor="_Toc517278987" w:history="1">
            <w:r w:rsidR="001477F6" w:rsidRPr="00CD4E9C">
              <w:rPr>
                <w:rStyle w:val="Lienhypertexte"/>
                <w:noProof/>
              </w:rPr>
              <w:t>III.</w:t>
            </w:r>
            <w:r w:rsidR="001477F6">
              <w:rPr>
                <w:noProof/>
              </w:rPr>
              <w:tab/>
            </w:r>
            <w:r w:rsidR="001477F6" w:rsidRPr="00CD4E9C">
              <w:rPr>
                <w:rStyle w:val="Lienhypertexte"/>
                <w:noProof/>
              </w:rPr>
              <w:t>STRATEGIE DE PRISE EN COMPTE DU GENRE</w:t>
            </w:r>
            <w:r w:rsidR="001477F6">
              <w:rPr>
                <w:noProof/>
                <w:webHidden/>
              </w:rPr>
              <w:tab/>
            </w:r>
            <w:r w:rsidR="001477F6">
              <w:rPr>
                <w:noProof/>
                <w:webHidden/>
              </w:rPr>
              <w:fldChar w:fldCharType="begin"/>
            </w:r>
            <w:r w:rsidR="001477F6">
              <w:rPr>
                <w:noProof/>
                <w:webHidden/>
              </w:rPr>
              <w:instrText xml:space="preserve"> PAGEREF _Toc517278987 \h </w:instrText>
            </w:r>
            <w:r w:rsidR="001477F6">
              <w:rPr>
                <w:noProof/>
                <w:webHidden/>
              </w:rPr>
            </w:r>
            <w:r w:rsidR="001477F6">
              <w:rPr>
                <w:noProof/>
                <w:webHidden/>
              </w:rPr>
              <w:fldChar w:fldCharType="separate"/>
            </w:r>
            <w:r w:rsidR="001477F6">
              <w:rPr>
                <w:noProof/>
                <w:webHidden/>
              </w:rPr>
              <w:t>8</w:t>
            </w:r>
            <w:r w:rsidR="001477F6">
              <w:rPr>
                <w:noProof/>
                <w:webHidden/>
              </w:rPr>
              <w:fldChar w:fldCharType="end"/>
            </w:r>
          </w:hyperlink>
        </w:p>
        <w:p w:rsidR="001477F6" w:rsidRDefault="00A4031A">
          <w:pPr>
            <w:pStyle w:val="TM1"/>
            <w:tabs>
              <w:tab w:val="right" w:leader="dot" w:pos="9488"/>
            </w:tabs>
            <w:rPr>
              <w:noProof/>
            </w:rPr>
          </w:pPr>
          <w:hyperlink w:anchor="_Toc517278988" w:history="1">
            <w:r w:rsidR="001477F6" w:rsidRPr="00CD4E9C">
              <w:rPr>
                <w:rStyle w:val="Lienhypertexte"/>
                <w:noProof/>
              </w:rPr>
              <w:t>CONCLUSION</w:t>
            </w:r>
            <w:r w:rsidR="001477F6">
              <w:rPr>
                <w:noProof/>
                <w:webHidden/>
              </w:rPr>
              <w:tab/>
            </w:r>
            <w:r w:rsidR="001477F6">
              <w:rPr>
                <w:noProof/>
                <w:webHidden/>
              </w:rPr>
              <w:fldChar w:fldCharType="begin"/>
            </w:r>
            <w:r w:rsidR="001477F6">
              <w:rPr>
                <w:noProof/>
                <w:webHidden/>
              </w:rPr>
              <w:instrText xml:space="preserve"> PAGEREF _Toc517278988 \h </w:instrText>
            </w:r>
            <w:r w:rsidR="001477F6">
              <w:rPr>
                <w:noProof/>
                <w:webHidden/>
              </w:rPr>
            </w:r>
            <w:r w:rsidR="001477F6">
              <w:rPr>
                <w:noProof/>
                <w:webHidden/>
              </w:rPr>
              <w:fldChar w:fldCharType="separate"/>
            </w:r>
            <w:r w:rsidR="001477F6">
              <w:rPr>
                <w:noProof/>
                <w:webHidden/>
              </w:rPr>
              <w:t>11</w:t>
            </w:r>
            <w:r w:rsidR="001477F6">
              <w:rPr>
                <w:noProof/>
                <w:webHidden/>
              </w:rPr>
              <w:fldChar w:fldCharType="end"/>
            </w:r>
          </w:hyperlink>
        </w:p>
        <w:p w:rsidR="001477F6" w:rsidRDefault="001477F6">
          <w:r>
            <w:rPr>
              <w:b/>
              <w:bCs/>
            </w:rPr>
            <w:fldChar w:fldCharType="end"/>
          </w:r>
        </w:p>
      </w:sdtContent>
    </w:sdt>
    <w:p w:rsidR="00D75439" w:rsidRPr="000A7C78" w:rsidRDefault="00D75439" w:rsidP="001477F6">
      <w:pPr>
        <w:jc w:val="both"/>
        <w:rPr>
          <w:rFonts w:ascii="Times New Roman" w:hAnsi="Times New Roman" w:cs="Times New Roman"/>
          <w:b/>
          <w:sz w:val="20"/>
          <w:szCs w:val="20"/>
        </w:rPr>
      </w:pPr>
    </w:p>
    <w:p w:rsidR="002D5316" w:rsidRDefault="002D5316" w:rsidP="002D5316">
      <w:pPr>
        <w:spacing w:after="0"/>
        <w:rPr>
          <w:rFonts w:ascii="Times New Roman" w:hAnsi="Times New Roman" w:cs="Times New Roman"/>
          <w:b/>
          <w:bCs/>
          <w:color w:val="1F497D"/>
          <w:sz w:val="20"/>
          <w:szCs w:val="20"/>
        </w:rPr>
      </w:pPr>
    </w:p>
    <w:p w:rsidR="00D17A1C" w:rsidRDefault="00D17A1C">
      <w:pPr>
        <w:pStyle w:val="Tabledesillustrations"/>
        <w:tabs>
          <w:tab w:val="right" w:leader="dot" w:pos="9488"/>
        </w:tabs>
        <w:rPr>
          <w:noProof/>
        </w:rPr>
      </w:pPr>
      <w:r>
        <w:rPr>
          <w:rFonts w:ascii="Times New Roman" w:hAnsi="Times New Roman" w:cs="Times New Roman"/>
          <w:b/>
          <w:bCs/>
          <w:color w:val="808080"/>
          <w:sz w:val="20"/>
          <w:szCs w:val="20"/>
        </w:rPr>
        <w:fldChar w:fldCharType="begin"/>
      </w:r>
      <w:r>
        <w:rPr>
          <w:rFonts w:ascii="Times New Roman" w:hAnsi="Times New Roman" w:cs="Times New Roman"/>
          <w:b/>
          <w:bCs/>
          <w:color w:val="808080"/>
          <w:sz w:val="20"/>
          <w:szCs w:val="20"/>
        </w:rPr>
        <w:instrText xml:space="preserve"> TOC \h \z \c "Tableau" </w:instrText>
      </w:r>
      <w:r>
        <w:rPr>
          <w:rFonts w:ascii="Times New Roman" w:hAnsi="Times New Roman" w:cs="Times New Roman"/>
          <w:b/>
          <w:bCs/>
          <w:color w:val="808080"/>
          <w:sz w:val="20"/>
          <w:szCs w:val="20"/>
        </w:rPr>
        <w:fldChar w:fldCharType="separate"/>
      </w:r>
      <w:hyperlink w:anchor="_Toc517279179" w:history="1">
        <w:r w:rsidRPr="00FA2A8B">
          <w:rPr>
            <w:rStyle w:val="Lienhypertexte"/>
            <w:noProof/>
          </w:rPr>
          <w:t>Tableau 1 : Synthèse du plan d’action genre dans le cadre du projet</w:t>
        </w:r>
        <w:r>
          <w:rPr>
            <w:noProof/>
            <w:webHidden/>
          </w:rPr>
          <w:tab/>
        </w:r>
        <w:r>
          <w:rPr>
            <w:noProof/>
            <w:webHidden/>
          </w:rPr>
          <w:fldChar w:fldCharType="begin"/>
        </w:r>
        <w:r>
          <w:rPr>
            <w:noProof/>
            <w:webHidden/>
          </w:rPr>
          <w:instrText xml:space="preserve"> PAGEREF _Toc517279179 \h </w:instrText>
        </w:r>
        <w:r>
          <w:rPr>
            <w:noProof/>
            <w:webHidden/>
          </w:rPr>
        </w:r>
        <w:r>
          <w:rPr>
            <w:noProof/>
            <w:webHidden/>
          </w:rPr>
          <w:fldChar w:fldCharType="separate"/>
        </w:r>
        <w:r>
          <w:rPr>
            <w:noProof/>
            <w:webHidden/>
          </w:rPr>
          <w:t>10</w:t>
        </w:r>
        <w:r>
          <w:rPr>
            <w:noProof/>
            <w:webHidden/>
          </w:rPr>
          <w:fldChar w:fldCharType="end"/>
        </w:r>
      </w:hyperlink>
    </w:p>
    <w:p w:rsidR="00D75439" w:rsidRPr="000A7C78" w:rsidRDefault="00D17A1C" w:rsidP="00D75439">
      <w:pPr>
        <w:rPr>
          <w:rFonts w:ascii="Times New Roman" w:hAnsi="Times New Roman" w:cs="Times New Roman"/>
          <w:b/>
          <w:bCs/>
          <w:color w:val="808080"/>
          <w:sz w:val="20"/>
          <w:szCs w:val="20"/>
        </w:rPr>
      </w:pPr>
      <w:r>
        <w:rPr>
          <w:rFonts w:ascii="Times New Roman" w:hAnsi="Times New Roman" w:cs="Times New Roman"/>
          <w:b/>
          <w:bCs/>
          <w:color w:val="808080"/>
          <w:sz w:val="20"/>
          <w:szCs w:val="20"/>
        </w:rPr>
        <w:fldChar w:fldCharType="end"/>
      </w:r>
    </w:p>
    <w:p w:rsidR="00D75439" w:rsidRPr="000A7C78" w:rsidRDefault="00D75439" w:rsidP="00D75439">
      <w:pPr>
        <w:rPr>
          <w:rFonts w:ascii="Times New Roman" w:hAnsi="Times New Roman" w:cs="Times New Roman"/>
          <w:b/>
          <w:bCs/>
          <w:color w:val="808080"/>
          <w:sz w:val="20"/>
          <w:szCs w:val="20"/>
        </w:rPr>
      </w:pPr>
    </w:p>
    <w:p w:rsidR="00D75439" w:rsidRPr="000A7C78" w:rsidRDefault="00D75439" w:rsidP="00D75439">
      <w:pPr>
        <w:rPr>
          <w:rFonts w:ascii="Times New Roman" w:hAnsi="Times New Roman" w:cs="Times New Roman"/>
          <w:b/>
          <w:bCs/>
          <w:color w:val="808080"/>
          <w:sz w:val="20"/>
          <w:szCs w:val="20"/>
        </w:rPr>
      </w:pPr>
    </w:p>
    <w:p w:rsidR="00D75439" w:rsidRPr="000A7C78" w:rsidRDefault="00D75439" w:rsidP="00D75439">
      <w:pPr>
        <w:rPr>
          <w:rFonts w:ascii="Times New Roman" w:hAnsi="Times New Roman" w:cs="Times New Roman"/>
          <w:b/>
          <w:bCs/>
          <w:color w:val="808080"/>
          <w:sz w:val="20"/>
          <w:szCs w:val="20"/>
        </w:rPr>
      </w:pPr>
    </w:p>
    <w:p w:rsidR="00D75439" w:rsidRPr="000A7C78" w:rsidRDefault="00D75439" w:rsidP="00D75439">
      <w:pPr>
        <w:rPr>
          <w:rFonts w:ascii="Times New Roman" w:hAnsi="Times New Roman" w:cs="Times New Roman"/>
          <w:b/>
          <w:bCs/>
          <w:color w:val="808080"/>
          <w:sz w:val="20"/>
          <w:szCs w:val="20"/>
        </w:rPr>
      </w:pPr>
    </w:p>
    <w:p w:rsidR="00D75439" w:rsidRPr="000A7C78" w:rsidRDefault="00D75439" w:rsidP="00D75439">
      <w:pPr>
        <w:rPr>
          <w:rFonts w:ascii="Times New Roman" w:hAnsi="Times New Roman" w:cs="Times New Roman"/>
          <w:b/>
          <w:bCs/>
          <w:color w:val="808080"/>
          <w:sz w:val="20"/>
          <w:szCs w:val="20"/>
        </w:rPr>
      </w:pPr>
    </w:p>
    <w:p w:rsidR="00D75439" w:rsidRPr="000A7C78" w:rsidRDefault="00D75439" w:rsidP="00D75439">
      <w:pPr>
        <w:rPr>
          <w:rFonts w:ascii="Times New Roman" w:hAnsi="Times New Roman" w:cs="Times New Roman"/>
          <w:sz w:val="20"/>
          <w:szCs w:val="20"/>
          <w:lang w:eastAsia="en-US"/>
        </w:rPr>
      </w:pPr>
    </w:p>
    <w:p w:rsidR="00D75439" w:rsidRPr="000A7C78" w:rsidRDefault="00D75439" w:rsidP="00D75439">
      <w:pPr>
        <w:rPr>
          <w:rFonts w:ascii="Times New Roman" w:hAnsi="Times New Roman" w:cs="Times New Roman"/>
          <w:sz w:val="20"/>
          <w:szCs w:val="20"/>
          <w:lang w:eastAsia="en-US"/>
        </w:rPr>
      </w:pPr>
    </w:p>
    <w:p w:rsidR="00D75439" w:rsidRPr="000A7C78" w:rsidRDefault="00D75439" w:rsidP="00D75439">
      <w:pPr>
        <w:rPr>
          <w:rFonts w:ascii="Times New Roman" w:hAnsi="Times New Roman" w:cs="Times New Roman"/>
          <w:sz w:val="20"/>
          <w:szCs w:val="20"/>
          <w:lang w:eastAsia="en-US"/>
        </w:rPr>
      </w:pPr>
    </w:p>
    <w:p w:rsidR="00D75439" w:rsidRDefault="00D75439" w:rsidP="00D75439">
      <w:pPr>
        <w:rPr>
          <w:rFonts w:ascii="Times New Roman" w:hAnsi="Times New Roman" w:cs="Times New Roman"/>
          <w:sz w:val="20"/>
          <w:szCs w:val="20"/>
          <w:lang w:eastAsia="en-US"/>
        </w:rPr>
      </w:pPr>
    </w:p>
    <w:p w:rsidR="00D75439" w:rsidRDefault="00D75439" w:rsidP="00D75439">
      <w:pPr>
        <w:rPr>
          <w:rFonts w:ascii="Times New Roman" w:hAnsi="Times New Roman" w:cs="Times New Roman"/>
          <w:sz w:val="20"/>
          <w:szCs w:val="20"/>
          <w:lang w:eastAsia="en-US"/>
        </w:rPr>
      </w:pPr>
    </w:p>
    <w:p w:rsidR="00D75439" w:rsidRDefault="00D75439" w:rsidP="00D75439">
      <w:pPr>
        <w:rPr>
          <w:rFonts w:ascii="Times New Roman" w:hAnsi="Times New Roman" w:cs="Times New Roman"/>
          <w:sz w:val="20"/>
          <w:szCs w:val="20"/>
          <w:lang w:eastAsia="en-US"/>
        </w:rPr>
      </w:pPr>
    </w:p>
    <w:p w:rsidR="00D75439" w:rsidRDefault="00D75439" w:rsidP="00D75439">
      <w:pPr>
        <w:rPr>
          <w:rFonts w:ascii="Times New Roman" w:hAnsi="Times New Roman" w:cs="Times New Roman"/>
          <w:sz w:val="20"/>
          <w:szCs w:val="20"/>
          <w:lang w:eastAsia="en-US"/>
        </w:rPr>
      </w:pPr>
    </w:p>
    <w:p w:rsidR="00D75439" w:rsidRDefault="00D75439" w:rsidP="00D75439">
      <w:pPr>
        <w:rPr>
          <w:rFonts w:ascii="Times New Roman" w:hAnsi="Times New Roman" w:cs="Times New Roman"/>
          <w:sz w:val="20"/>
          <w:szCs w:val="20"/>
          <w:lang w:eastAsia="en-US"/>
        </w:rPr>
      </w:pPr>
    </w:p>
    <w:p w:rsidR="00D75439" w:rsidRDefault="00D75439" w:rsidP="00D75439">
      <w:pPr>
        <w:rPr>
          <w:rFonts w:ascii="Times New Roman" w:hAnsi="Times New Roman" w:cs="Times New Roman"/>
          <w:sz w:val="20"/>
          <w:szCs w:val="20"/>
          <w:lang w:eastAsia="en-US"/>
        </w:rPr>
      </w:pPr>
    </w:p>
    <w:p w:rsidR="00D75439" w:rsidRDefault="00D75439" w:rsidP="00D75439">
      <w:pPr>
        <w:rPr>
          <w:rFonts w:ascii="Times New Roman" w:hAnsi="Times New Roman" w:cs="Times New Roman"/>
          <w:sz w:val="20"/>
          <w:szCs w:val="20"/>
          <w:lang w:eastAsia="en-US"/>
        </w:rPr>
      </w:pPr>
    </w:p>
    <w:p w:rsidR="00D75439" w:rsidRDefault="00D75439" w:rsidP="00D75439">
      <w:pPr>
        <w:rPr>
          <w:rFonts w:ascii="Times New Roman" w:hAnsi="Times New Roman" w:cs="Times New Roman"/>
          <w:sz w:val="20"/>
          <w:szCs w:val="20"/>
          <w:lang w:eastAsia="en-US"/>
        </w:rPr>
      </w:pPr>
    </w:p>
    <w:p w:rsidR="00D75439" w:rsidRPr="002D5316" w:rsidRDefault="009F7DC2" w:rsidP="009F7DC2">
      <w:pPr>
        <w:pStyle w:val="Titre1"/>
        <w:rPr>
          <w:rFonts w:eastAsia="Calibri"/>
        </w:rPr>
      </w:pPr>
      <w:bookmarkStart w:id="1" w:name="_Toc517278975"/>
      <w:r>
        <w:rPr>
          <w:rFonts w:eastAsia="Calibri"/>
        </w:rPr>
        <w:t>INTRODUCTION</w:t>
      </w:r>
      <w:bookmarkEnd w:id="1"/>
      <w:r>
        <w:rPr>
          <w:rFonts w:eastAsia="Calibri"/>
        </w:rPr>
        <w:t> </w:t>
      </w:r>
    </w:p>
    <w:p w:rsidR="00936643" w:rsidRPr="009F7DC2" w:rsidRDefault="00936643" w:rsidP="009F7DC2">
      <w:pPr>
        <w:jc w:val="both"/>
        <w:rPr>
          <w:rFonts w:ascii="Times New Roman" w:hAnsi="Times New Roman" w:cs="Times New Roman"/>
          <w:sz w:val="24"/>
          <w:szCs w:val="24"/>
        </w:rPr>
      </w:pPr>
      <w:r w:rsidRPr="009F7DC2">
        <w:rPr>
          <w:rFonts w:ascii="Times New Roman" w:hAnsi="Times New Roman" w:cs="Times New Roman"/>
          <w:sz w:val="24"/>
          <w:szCs w:val="24"/>
        </w:rPr>
        <w:t>Le présent plan d’action découle d’une simple revue documentaire à valeur de diagnostic institutionnel et organisationnel. Il est composé comme suit :</w:t>
      </w:r>
    </w:p>
    <w:p w:rsidR="00AC7307" w:rsidRPr="009F7DC2" w:rsidRDefault="00AC7307" w:rsidP="009F7DC2">
      <w:pPr>
        <w:pStyle w:val="Paragraphedeliste"/>
        <w:numPr>
          <w:ilvl w:val="0"/>
          <w:numId w:val="15"/>
        </w:numPr>
        <w:rPr>
          <w:szCs w:val="24"/>
        </w:rPr>
      </w:pPr>
      <w:r w:rsidRPr="009F7DC2">
        <w:rPr>
          <w:szCs w:val="24"/>
        </w:rPr>
        <w:t xml:space="preserve">Aperçu sur le genre au mali à travers </w:t>
      </w:r>
      <w:proofErr w:type="gramStart"/>
      <w:r w:rsidRPr="009F7DC2">
        <w:rPr>
          <w:szCs w:val="24"/>
        </w:rPr>
        <w:t>la politique nationale</w:t>
      </w:r>
      <w:proofErr w:type="gramEnd"/>
      <w:r w:rsidRPr="009F7DC2">
        <w:rPr>
          <w:szCs w:val="24"/>
        </w:rPr>
        <w:t xml:space="preserve"> genre</w:t>
      </w:r>
    </w:p>
    <w:p w:rsidR="008652AE" w:rsidRPr="009F7DC2" w:rsidRDefault="008652AE" w:rsidP="009F7DC2">
      <w:pPr>
        <w:pStyle w:val="Paragraphedeliste"/>
        <w:numPr>
          <w:ilvl w:val="0"/>
          <w:numId w:val="15"/>
        </w:numPr>
        <w:rPr>
          <w:szCs w:val="24"/>
        </w:rPr>
      </w:pPr>
      <w:r w:rsidRPr="009F7DC2">
        <w:rPr>
          <w:szCs w:val="24"/>
        </w:rPr>
        <w:t>Contexte et justification</w:t>
      </w:r>
    </w:p>
    <w:p w:rsidR="008652AE" w:rsidRPr="009F7DC2" w:rsidRDefault="008652AE" w:rsidP="009F7DC2">
      <w:pPr>
        <w:pStyle w:val="Paragraphedeliste"/>
        <w:numPr>
          <w:ilvl w:val="0"/>
          <w:numId w:val="15"/>
        </w:numPr>
        <w:rPr>
          <w:szCs w:val="24"/>
        </w:rPr>
      </w:pPr>
      <w:r w:rsidRPr="009F7DC2">
        <w:rPr>
          <w:szCs w:val="24"/>
        </w:rPr>
        <w:t>Objectif général</w:t>
      </w:r>
    </w:p>
    <w:p w:rsidR="00AC7307" w:rsidRPr="009F7DC2" w:rsidRDefault="008652AE" w:rsidP="009F7DC2">
      <w:pPr>
        <w:pStyle w:val="Paragraphedeliste"/>
        <w:numPr>
          <w:ilvl w:val="0"/>
          <w:numId w:val="15"/>
        </w:numPr>
        <w:rPr>
          <w:szCs w:val="24"/>
        </w:rPr>
      </w:pPr>
      <w:r w:rsidRPr="009F7DC2">
        <w:rPr>
          <w:szCs w:val="24"/>
        </w:rPr>
        <w:t>Objectifs spécifiques</w:t>
      </w:r>
    </w:p>
    <w:p w:rsidR="00AC7307" w:rsidRPr="009F7DC2" w:rsidRDefault="00AC7307" w:rsidP="009F7DC2">
      <w:pPr>
        <w:pStyle w:val="Paragraphedeliste"/>
        <w:numPr>
          <w:ilvl w:val="0"/>
          <w:numId w:val="15"/>
        </w:numPr>
        <w:rPr>
          <w:szCs w:val="24"/>
        </w:rPr>
      </w:pPr>
      <w:r w:rsidRPr="009F7DC2">
        <w:rPr>
          <w:szCs w:val="24"/>
        </w:rPr>
        <w:t xml:space="preserve">Cadre d’orientation stratégique des actions visant l’intégration du genre dans le projet </w:t>
      </w:r>
    </w:p>
    <w:p w:rsidR="00AC7307" w:rsidRPr="009F7DC2" w:rsidRDefault="00AC7307" w:rsidP="009F7DC2">
      <w:pPr>
        <w:pStyle w:val="Paragraphedeliste"/>
        <w:numPr>
          <w:ilvl w:val="0"/>
          <w:numId w:val="15"/>
        </w:numPr>
        <w:rPr>
          <w:szCs w:val="24"/>
        </w:rPr>
      </w:pPr>
      <w:r w:rsidRPr="009F7DC2">
        <w:rPr>
          <w:szCs w:val="24"/>
        </w:rPr>
        <w:t>Stratégies de prise en compte du genre</w:t>
      </w:r>
    </w:p>
    <w:p w:rsidR="009F7DC2" w:rsidRDefault="009F7DC2">
      <w:pPr>
        <w:spacing w:after="160" w:line="259"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br w:type="page"/>
      </w:r>
    </w:p>
    <w:p w:rsidR="00AC7307" w:rsidRDefault="00AC7307" w:rsidP="00AC7307">
      <w:pPr>
        <w:rPr>
          <w:rFonts w:ascii="Times New Roman" w:hAnsi="Times New Roman" w:cs="Times New Roman"/>
          <w:b/>
          <w:sz w:val="20"/>
          <w:szCs w:val="20"/>
          <w:lang w:eastAsia="en-US"/>
        </w:rPr>
      </w:pPr>
    </w:p>
    <w:p w:rsidR="00AC7307" w:rsidRPr="00281278" w:rsidRDefault="00AC7307" w:rsidP="009F7DC2">
      <w:pPr>
        <w:pStyle w:val="Titre1"/>
        <w:numPr>
          <w:ilvl w:val="0"/>
          <w:numId w:val="21"/>
        </w:numPr>
      </w:pPr>
      <w:bookmarkStart w:id="2" w:name="_Toc517278976"/>
      <w:r w:rsidRPr="00281278">
        <w:t>APERÇU SUR LA POLITIQUE NATIONALE GENRE DU MALI</w:t>
      </w:r>
      <w:bookmarkEnd w:id="2"/>
    </w:p>
    <w:p w:rsidR="00AC7307" w:rsidRPr="009F7DC2" w:rsidRDefault="00AC7307" w:rsidP="009F7DC2">
      <w:pPr>
        <w:pStyle w:val="Titre1"/>
        <w:spacing w:line="360" w:lineRule="auto"/>
        <w:jc w:val="both"/>
        <w:rPr>
          <w:rFonts w:ascii="Times New Roman" w:eastAsiaTheme="minorEastAsia" w:hAnsi="Times New Roman"/>
          <w:b w:val="0"/>
          <w:bCs w:val="0"/>
          <w:kern w:val="0"/>
          <w:sz w:val="24"/>
          <w:szCs w:val="24"/>
          <w:lang w:eastAsia="fr-FR"/>
        </w:rPr>
      </w:pPr>
      <w:bookmarkStart w:id="3" w:name="_Toc517267999"/>
      <w:bookmarkStart w:id="4" w:name="_Toc517278977"/>
      <w:r w:rsidRPr="009F7DC2">
        <w:rPr>
          <w:rFonts w:ascii="Times New Roman" w:eastAsiaTheme="minorEastAsia" w:hAnsi="Times New Roman"/>
          <w:b w:val="0"/>
          <w:bCs w:val="0"/>
          <w:kern w:val="0"/>
          <w:sz w:val="24"/>
          <w:szCs w:val="24"/>
          <w:lang w:eastAsia="fr-FR"/>
        </w:rPr>
        <w:t>Cet aperçu est un rappel des points saillants de la politique dont : a vision, l</w:t>
      </w:r>
      <w:r w:rsidR="00496B04" w:rsidRPr="009F7DC2">
        <w:rPr>
          <w:rFonts w:ascii="Times New Roman" w:eastAsiaTheme="minorEastAsia" w:hAnsi="Times New Roman"/>
          <w:b w:val="0"/>
          <w:bCs w:val="0"/>
          <w:kern w:val="0"/>
          <w:sz w:val="24"/>
          <w:szCs w:val="24"/>
          <w:lang w:eastAsia="fr-FR"/>
        </w:rPr>
        <w:t>es orientations stratégiques</w:t>
      </w:r>
      <w:bookmarkEnd w:id="3"/>
      <w:bookmarkEnd w:id="4"/>
      <w:r w:rsidR="00496B04" w:rsidRPr="009F7DC2">
        <w:rPr>
          <w:rFonts w:ascii="Times New Roman" w:eastAsiaTheme="minorEastAsia" w:hAnsi="Times New Roman"/>
          <w:b w:val="0"/>
          <w:bCs w:val="0"/>
          <w:kern w:val="0"/>
          <w:sz w:val="24"/>
          <w:szCs w:val="24"/>
          <w:lang w:eastAsia="fr-FR"/>
        </w:rPr>
        <w:t xml:space="preserve"> </w:t>
      </w:r>
    </w:p>
    <w:p w:rsidR="00496B04" w:rsidRPr="009F7DC2" w:rsidRDefault="00496B04" w:rsidP="009F7DC2">
      <w:pPr>
        <w:spacing w:after="0" w:line="360" w:lineRule="auto"/>
        <w:jc w:val="both"/>
        <w:rPr>
          <w:rFonts w:ascii="Times New Roman" w:hAnsi="Times New Roman" w:cs="Times New Roman"/>
          <w:sz w:val="24"/>
          <w:szCs w:val="24"/>
        </w:rPr>
      </w:pPr>
      <w:r w:rsidRPr="009F7DC2">
        <w:rPr>
          <w:rFonts w:ascii="Times New Roman" w:hAnsi="Times New Roman" w:cs="Times New Roman"/>
          <w:sz w:val="24"/>
          <w:szCs w:val="24"/>
        </w:rPr>
        <w:t xml:space="preserve">La vision : </w:t>
      </w:r>
    </w:p>
    <w:p w:rsidR="00496B04" w:rsidRPr="009F7DC2" w:rsidRDefault="00496B04" w:rsidP="009F7DC2">
      <w:pPr>
        <w:spacing w:after="0" w:line="360" w:lineRule="auto"/>
        <w:jc w:val="both"/>
        <w:rPr>
          <w:rFonts w:ascii="Times New Roman" w:hAnsi="Times New Roman" w:cs="Times New Roman"/>
          <w:i/>
          <w:sz w:val="24"/>
          <w:szCs w:val="24"/>
        </w:rPr>
      </w:pPr>
      <w:r w:rsidRPr="009F7DC2">
        <w:rPr>
          <w:rFonts w:ascii="Times New Roman" w:hAnsi="Times New Roman" w:cs="Times New Roman"/>
          <w:i/>
          <w:sz w:val="24"/>
          <w:szCs w:val="24"/>
        </w:rPr>
        <w:t>« Une société démocratique qui garantit l’épanouissement de toutes les femmes et de tous les hommes grâce au plein exercice de leurs droits égaux fondamentaux, à une citoyenneté active et participative et à l’accès équitable aux ressources, en vue de faire du Mali un pays émergent fort de sa croissance et fier de ses valeurs de justice, de paix, de solidarité et de cohésion sociale ».</w:t>
      </w:r>
    </w:p>
    <w:p w:rsidR="00496B04" w:rsidRPr="009F7DC2" w:rsidRDefault="00496B04" w:rsidP="009F7DC2">
      <w:pPr>
        <w:spacing w:after="0" w:line="360" w:lineRule="auto"/>
        <w:jc w:val="both"/>
        <w:rPr>
          <w:rFonts w:ascii="Times New Roman" w:hAnsi="Times New Roman"/>
          <w:b/>
          <w:color w:val="0070C0"/>
          <w:sz w:val="24"/>
          <w:szCs w:val="24"/>
        </w:rPr>
      </w:pPr>
    </w:p>
    <w:p w:rsidR="00496B04" w:rsidRPr="009F7DC2" w:rsidRDefault="00496B04" w:rsidP="009F7DC2">
      <w:pPr>
        <w:spacing w:after="0" w:line="360" w:lineRule="auto"/>
        <w:jc w:val="both"/>
        <w:rPr>
          <w:rFonts w:ascii="Times New Roman" w:hAnsi="Times New Roman" w:cs="Times New Roman"/>
          <w:i/>
          <w:sz w:val="24"/>
          <w:szCs w:val="24"/>
        </w:rPr>
      </w:pPr>
      <w:r w:rsidRPr="009F7DC2">
        <w:rPr>
          <w:rFonts w:ascii="Times New Roman" w:hAnsi="Times New Roman" w:cs="Times New Roman"/>
          <w:i/>
          <w:sz w:val="24"/>
          <w:szCs w:val="24"/>
        </w:rPr>
        <w:t xml:space="preserve">Orientations stratégiques : </w:t>
      </w:r>
    </w:p>
    <w:p w:rsidR="00496B04" w:rsidRPr="009F7DC2" w:rsidRDefault="00496B04" w:rsidP="009F7DC2">
      <w:pPr>
        <w:spacing w:after="0" w:line="360" w:lineRule="auto"/>
        <w:jc w:val="both"/>
        <w:rPr>
          <w:rFonts w:ascii="Times New Roman" w:hAnsi="Times New Roman" w:cs="Times New Roman"/>
          <w:i/>
          <w:sz w:val="24"/>
          <w:szCs w:val="24"/>
        </w:rPr>
      </w:pPr>
      <w:r w:rsidRPr="009F7DC2">
        <w:rPr>
          <w:rFonts w:ascii="Times New Roman" w:hAnsi="Times New Roman" w:cs="Times New Roman"/>
          <w:i/>
          <w:sz w:val="24"/>
          <w:szCs w:val="24"/>
        </w:rPr>
        <w:t xml:space="preserve">La politique est structurée autour des six (6) initialement mentionnées dans le document de la Politique Nationale Genre. Il s’agit : </w:t>
      </w:r>
    </w:p>
    <w:p w:rsidR="00496B04" w:rsidRPr="009F7DC2" w:rsidRDefault="00496B04" w:rsidP="009F7DC2">
      <w:pPr>
        <w:spacing w:after="0" w:line="360" w:lineRule="auto"/>
        <w:jc w:val="both"/>
        <w:rPr>
          <w:rFonts w:ascii="Times New Roman" w:hAnsi="Times New Roman" w:cs="Times New Roman"/>
          <w:i/>
          <w:sz w:val="24"/>
          <w:szCs w:val="24"/>
        </w:rPr>
      </w:pPr>
      <w:r w:rsidRPr="009F7DC2">
        <w:rPr>
          <w:rFonts w:ascii="Times New Roman" w:hAnsi="Times New Roman" w:cs="Times New Roman"/>
          <w:i/>
          <w:sz w:val="24"/>
          <w:szCs w:val="24"/>
        </w:rPr>
        <w:t xml:space="preserve">  </w:t>
      </w:r>
    </w:p>
    <w:p w:rsidR="00496B04" w:rsidRPr="009F7DC2" w:rsidRDefault="00496B04" w:rsidP="009F7DC2">
      <w:pPr>
        <w:spacing w:after="0" w:line="360" w:lineRule="auto"/>
        <w:jc w:val="both"/>
        <w:rPr>
          <w:rFonts w:ascii="Times New Roman" w:hAnsi="Times New Roman" w:cs="Times New Roman"/>
          <w:i/>
          <w:sz w:val="24"/>
          <w:szCs w:val="24"/>
        </w:rPr>
      </w:pPr>
      <w:r w:rsidRPr="009F7DC2">
        <w:rPr>
          <w:rFonts w:ascii="Times New Roman" w:hAnsi="Times New Roman" w:cs="Times New Roman"/>
          <w:i/>
          <w:sz w:val="24"/>
          <w:szCs w:val="24"/>
        </w:rPr>
        <w:t xml:space="preserve">1) Consolidation de la démocratie malienne et de l’État de droit par l’égalité d’accès et la pleine jouissance des droits fondamentaux pour les femmes et pour les hommes. </w:t>
      </w:r>
    </w:p>
    <w:p w:rsidR="00496B04" w:rsidRPr="009F7DC2" w:rsidRDefault="00496B04" w:rsidP="009F7DC2">
      <w:pPr>
        <w:spacing w:after="0" w:line="360" w:lineRule="auto"/>
        <w:jc w:val="both"/>
        <w:rPr>
          <w:rFonts w:ascii="Times New Roman" w:hAnsi="Times New Roman" w:cs="Times New Roman"/>
          <w:i/>
          <w:sz w:val="24"/>
          <w:szCs w:val="24"/>
        </w:rPr>
      </w:pPr>
      <w:r w:rsidRPr="009F7DC2">
        <w:rPr>
          <w:rFonts w:ascii="Times New Roman" w:hAnsi="Times New Roman" w:cs="Times New Roman"/>
          <w:i/>
          <w:sz w:val="24"/>
          <w:szCs w:val="24"/>
        </w:rPr>
        <w:t xml:space="preserve">2) Développement d’un capital humain (femmes et hommes) apte à affronter les défis du développement socioéconomique du pays, de la réduction de la pauvreté, de l’intégration africaine et de la mondialisation. </w:t>
      </w:r>
    </w:p>
    <w:p w:rsidR="00496B04" w:rsidRPr="009F7DC2" w:rsidRDefault="00496B04" w:rsidP="009F7DC2">
      <w:pPr>
        <w:spacing w:after="0" w:line="360" w:lineRule="auto"/>
        <w:jc w:val="both"/>
        <w:rPr>
          <w:rFonts w:ascii="Times New Roman" w:hAnsi="Times New Roman" w:cs="Times New Roman"/>
          <w:i/>
          <w:sz w:val="24"/>
          <w:szCs w:val="24"/>
        </w:rPr>
      </w:pPr>
      <w:r w:rsidRPr="009F7DC2">
        <w:rPr>
          <w:rFonts w:ascii="Times New Roman" w:hAnsi="Times New Roman" w:cs="Times New Roman"/>
          <w:i/>
          <w:sz w:val="24"/>
          <w:szCs w:val="24"/>
        </w:rPr>
        <w:t xml:space="preserve">3) Reconnaissance de la contribution des femmes au développement économique par leur insertion aux circuits productifs et l’accès égal aux opportunités d’emploi et aux facteurs de production. </w:t>
      </w:r>
    </w:p>
    <w:p w:rsidR="00496B04" w:rsidRPr="009F7DC2" w:rsidRDefault="00496B04" w:rsidP="009F7DC2">
      <w:pPr>
        <w:spacing w:after="0" w:line="360" w:lineRule="auto"/>
        <w:jc w:val="both"/>
        <w:rPr>
          <w:rFonts w:ascii="Times New Roman" w:hAnsi="Times New Roman" w:cs="Times New Roman"/>
          <w:i/>
          <w:sz w:val="24"/>
          <w:szCs w:val="24"/>
        </w:rPr>
      </w:pPr>
      <w:r w:rsidRPr="009F7DC2">
        <w:rPr>
          <w:rFonts w:ascii="Times New Roman" w:hAnsi="Times New Roman" w:cs="Times New Roman"/>
          <w:i/>
          <w:sz w:val="24"/>
          <w:szCs w:val="24"/>
        </w:rPr>
        <w:t xml:space="preserve">4) Mise à contribution des potentialités des femmes et des hommes dans le développement du pays par leur participation égale aux sphères de décision. </w:t>
      </w:r>
    </w:p>
    <w:p w:rsidR="00496B04" w:rsidRPr="009F7DC2" w:rsidRDefault="00496B04" w:rsidP="009F7DC2">
      <w:pPr>
        <w:spacing w:after="0" w:line="360" w:lineRule="auto"/>
        <w:jc w:val="both"/>
        <w:rPr>
          <w:rFonts w:ascii="Times New Roman" w:hAnsi="Times New Roman" w:cs="Times New Roman"/>
          <w:i/>
          <w:sz w:val="24"/>
          <w:szCs w:val="24"/>
        </w:rPr>
      </w:pPr>
      <w:r w:rsidRPr="009F7DC2">
        <w:rPr>
          <w:rFonts w:ascii="Times New Roman" w:hAnsi="Times New Roman" w:cs="Times New Roman"/>
          <w:i/>
          <w:sz w:val="24"/>
          <w:szCs w:val="24"/>
        </w:rPr>
        <w:t xml:space="preserve">5) Promotion, sensibilisation et communication pour l’enracinement des valeurs et des comportements égalitaires au sein de la société malienne tout en ralliant les traditions porteuses d’égalité aux impératifs de la modernité et de l’ouverture sur le monde.  </w:t>
      </w:r>
    </w:p>
    <w:p w:rsidR="00D75439" w:rsidRPr="009F7DC2" w:rsidRDefault="00496B04" w:rsidP="009F7DC2">
      <w:pPr>
        <w:spacing w:after="0" w:line="360" w:lineRule="auto"/>
        <w:jc w:val="both"/>
        <w:rPr>
          <w:rFonts w:ascii="Times New Roman" w:hAnsi="Times New Roman" w:cs="Times New Roman"/>
          <w:i/>
          <w:sz w:val="24"/>
          <w:szCs w:val="24"/>
        </w:rPr>
      </w:pPr>
      <w:r w:rsidRPr="009F7DC2">
        <w:rPr>
          <w:rFonts w:ascii="Times New Roman" w:hAnsi="Times New Roman" w:cs="Times New Roman"/>
          <w:i/>
          <w:sz w:val="24"/>
          <w:szCs w:val="24"/>
        </w:rPr>
        <w:t xml:space="preserve">6) Prise en compte du Genre comme un principe directeur de bonne gouvernance dans les politiques et réformes publiques les plus porteuses de changement et dans les budgets, en considérant le contexte de la déconcentration et la décentralisation.  </w:t>
      </w:r>
    </w:p>
    <w:p w:rsidR="009F7DC2" w:rsidRDefault="009F7DC2">
      <w:pPr>
        <w:spacing w:after="160" w:line="259" w:lineRule="auto"/>
        <w:rPr>
          <w:sz w:val="20"/>
          <w:szCs w:val="20"/>
        </w:rPr>
      </w:pPr>
      <w:r>
        <w:rPr>
          <w:sz w:val="20"/>
          <w:szCs w:val="20"/>
        </w:rPr>
        <w:br w:type="page"/>
      </w:r>
    </w:p>
    <w:p w:rsidR="00D75439" w:rsidRDefault="00D75439" w:rsidP="00D75439">
      <w:pPr>
        <w:rPr>
          <w:sz w:val="20"/>
          <w:szCs w:val="20"/>
        </w:rPr>
      </w:pPr>
    </w:p>
    <w:p w:rsidR="00D75439" w:rsidRPr="007C4220" w:rsidRDefault="00D75439" w:rsidP="009F7DC2">
      <w:pPr>
        <w:pStyle w:val="Titre1"/>
        <w:numPr>
          <w:ilvl w:val="0"/>
          <w:numId w:val="21"/>
        </w:numPr>
      </w:pPr>
      <w:bookmarkStart w:id="5" w:name="_Toc517278978"/>
      <w:r w:rsidRPr="007C4220">
        <w:t>CONTEXTE ET JUSTIFICATION</w:t>
      </w:r>
      <w:bookmarkEnd w:id="5"/>
    </w:p>
    <w:p w:rsidR="00D75439" w:rsidRPr="009F7DC2" w:rsidRDefault="00D75439" w:rsidP="009F7DC2">
      <w:pPr>
        <w:spacing w:after="0" w:line="360" w:lineRule="auto"/>
        <w:jc w:val="both"/>
        <w:rPr>
          <w:rFonts w:ascii="Times New Roman" w:eastAsia="Times New Roman" w:hAnsi="Times New Roman" w:cs="Times New Roman"/>
          <w:sz w:val="24"/>
          <w:szCs w:val="24"/>
        </w:rPr>
      </w:pPr>
      <w:r w:rsidRPr="009F7DC2">
        <w:rPr>
          <w:rFonts w:ascii="Times New Roman" w:eastAsia="Times New Roman" w:hAnsi="Times New Roman" w:cs="Times New Roman"/>
          <w:sz w:val="24"/>
          <w:szCs w:val="24"/>
        </w:rPr>
        <w:t>Le changement climatique a un impact profond sur notre planète et sur ses habitants. De nouveaux records climatiques sont enregistrés avec une fréquence alarmante eu-égard les impacts multiples. A titre illustratif, on peut noter l’augmentation de la fréquence et de l’intensité des sécheresses ou des inondations ; la hausse des températures extrêmes, avec l’assèchement des lits de nos rivières, marigots et autres cours d’eau. Ces changements à l’œuvre ont des impacts indirects majeurs comme la baisse des rendements agricoles ou de poissons disponibles, la hausse des prix des produits alimentaires et la baisse des possibilités d’autosuffisance alimentaire qui entrainent ipso-facto : l’insécurité alimentaire, les conflits autour des droits de tenures foncières basé sur la terre, l’eau, la faune entre autres.</w:t>
      </w:r>
    </w:p>
    <w:p w:rsidR="00D75439" w:rsidRPr="009F7DC2" w:rsidRDefault="00D75439" w:rsidP="009F7DC2">
      <w:pPr>
        <w:spacing w:after="0" w:line="360" w:lineRule="auto"/>
        <w:jc w:val="both"/>
        <w:rPr>
          <w:rFonts w:ascii="Times New Roman" w:eastAsia="Times New Roman" w:hAnsi="Times New Roman" w:cs="Times New Roman"/>
          <w:sz w:val="24"/>
          <w:szCs w:val="24"/>
        </w:rPr>
      </w:pPr>
      <w:r w:rsidRPr="009F7DC2">
        <w:rPr>
          <w:rFonts w:ascii="Times New Roman" w:eastAsia="Times New Roman" w:hAnsi="Times New Roman" w:cs="Times New Roman"/>
          <w:sz w:val="24"/>
          <w:szCs w:val="24"/>
        </w:rPr>
        <w:t>Convaincu de la chaine d’impact à effets multiplicateurs, sur les plus pauvres et les plus vulnérables, pourtant les moins de responsables des causes du changement climatique, c’est eux qui subissent les conséquences les plus graves du changement climatique. Au Mali, selon les termes de référence, « les taux d’électrification sont encore très faibles dans les zones rurales (15 % dans les villes rurales et les villages contre 55 % dans les centres urbains) où résident77 % de la population du Mali, estimée à environ 16.5 millions d’habitants en 2013. Environ 78 % des besoins énergétiques des ménages maliens sont donc satisfaits par des ressources de la biomasse (bois de chauffe et charbon), qui au-delà de créer des problèmes de santé liés à la pollution atmosphérique à l’intérieur des habitations en milieu rural, aggrave la déforestation et la dégradation des sols avec une libération du carbone stocké dans les arbres et dans les sols.</w:t>
      </w:r>
    </w:p>
    <w:p w:rsidR="00D75439" w:rsidRPr="009F7DC2" w:rsidRDefault="00D75439" w:rsidP="009F7DC2">
      <w:pPr>
        <w:spacing w:after="0" w:line="360" w:lineRule="auto"/>
        <w:jc w:val="both"/>
        <w:rPr>
          <w:rFonts w:ascii="Times New Roman" w:eastAsia="Times New Roman" w:hAnsi="Times New Roman" w:cs="Times New Roman"/>
          <w:sz w:val="24"/>
          <w:szCs w:val="24"/>
        </w:rPr>
      </w:pPr>
      <w:r w:rsidRPr="009F7DC2">
        <w:rPr>
          <w:rFonts w:ascii="Times New Roman" w:eastAsia="Times New Roman" w:hAnsi="Times New Roman" w:cs="Times New Roman"/>
          <w:sz w:val="24"/>
          <w:szCs w:val="24"/>
        </w:rPr>
        <w:t>Il est important de noter que des résultats de recherches ont estimé des conséquences environnementales et sociales  bien significatives de la situation énergétique à savoir : (i) la déforestation d’environ 400 000 ha/an ; (ii) l’émission de 15,45 mégatonnes de dioxyde de carbone, représentant 94,33% du total des émissions de gaz à effet de serre (GES) du Mali en équivalent carbone</w:t>
      </w:r>
      <w:r w:rsidRPr="009F7DC2">
        <w:rPr>
          <w:rFonts w:ascii="Times New Roman" w:eastAsia="Times New Roman" w:hAnsi="Times New Roman" w:cs="Times New Roman"/>
          <w:sz w:val="24"/>
          <w:szCs w:val="24"/>
        </w:rPr>
        <w:endnoteReference w:id="1"/>
      </w:r>
      <w:r w:rsidRPr="009F7DC2">
        <w:rPr>
          <w:rFonts w:ascii="Times New Roman" w:eastAsia="Times New Roman" w:hAnsi="Times New Roman" w:cs="Times New Roman"/>
          <w:sz w:val="24"/>
          <w:szCs w:val="24"/>
        </w:rPr>
        <w:t> ; et (iii) la diminution du pouvoir d’achat de la population face aux prix croissants des produits pétroliers quand bien même ceux sont les femmes, enfants et les communautés marginales sont particulièrement vulnérables et davantage exposées aux risques de catastrophes naturelles, dépendant directement de ressources elles -mêmes tributaires des aléas météorologiques avec une faible capacité d'adaptation aux effets des changements climatiques.</w:t>
      </w:r>
    </w:p>
    <w:p w:rsidR="00D75439" w:rsidRPr="009F7DC2" w:rsidRDefault="00D75439" w:rsidP="009F7DC2">
      <w:pPr>
        <w:pStyle w:val="Default"/>
        <w:widowControl w:val="0"/>
        <w:spacing w:line="360" w:lineRule="auto"/>
        <w:jc w:val="both"/>
        <w:rPr>
          <w:rFonts w:ascii="Times New Roman" w:hAnsi="Times New Roman" w:cs="Times New Roman"/>
        </w:rPr>
      </w:pPr>
    </w:p>
    <w:p w:rsidR="00D75439" w:rsidRPr="009F7DC2" w:rsidRDefault="00D75439" w:rsidP="009F7DC2">
      <w:pPr>
        <w:spacing w:after="0" w:line="360" w:lineRule="auto"/>
        <w:jc w:val="both"/>
        <w:rPr>
          <w:rFonts w:ascii="Times New Roman" w:eastAsia="Times New Roman" w:hAnsi="Times New Roman" w:cs="Times New Roman"/>
          <w:sz w:val="24"/>
          <w:szCs w:val="24"/>
        </w:rPr>
      </w:pPr>
      <w:r w:rsidRPr="009F7DC2">
        <w:rPr>
          <w:rFonts w:ascii="Times New Roman" w:eastAsia="Times New Roman" w:hAnsi="Times New Roman" w:cs="Times New Roman"/>
          <w:sz w:val="24"/>
          <w:szCs w:val="24"/>
        </w:rPr>
        <w:t xml:space="preserve">C’est fort de ces constats que le Mali à travers le Projet « Green </w:t>
      </w:r>
      <w:proofErr w:type="spellStart"/>
      <w:r w:rsidRPr="009F7DC2">
        <w:rPr>
          <w:rFonts w:ascii="Times New Roman" w:eastAsia="Times New Roman" w:hAnsi="Times New Roman" w:cs="Times New Roman"/>
          <w:sz w:val="24"/>
          <w:szCs w:val="24"/>
        </w:rPr>
        <w:t>Energy</w:t>
      </w:r>
      <w:proofErr w:type="spellEnd"/>
      <w:r w:rsidRPr="009F7DC2">
        <w:rPr>
          <w:rFonts w:ascii="Times New Roman" w:eastAsia="Times New Roman" w:hAnsi="Times New Roman" w:cs="Times New Roman"/>
          <w:sz w:val="24"/>
          <w:szCs w:val="24"/>
        </w:rPr>
        <w:t xml:space="preserve"> Services </w:t>
      </w:r>
      <w:proofErr w:type="spellStart"/>
      <w:r w:rsidRPr="009F7DC2">
        <w:rPr>
          <w:rFonts w:ascii="Times New Roman" w:eastAsia="Times New Roman" w:hAnsi="Times New Roman" w:cs="Times New Roman"/>
          <w:sz w:val="24"/>
          <w:szCs w:val="24"/>
        </w:rPr>
        <w:t>Centers</w:t>
      </w:r>
      <w:proofErr w:type="spellEnd"/>
      <w:r w:rsidRPr="009F7DC2">
        <w:rPr>
          <w:rFonts w:ascii="Times New Roman" w:eastAsia="Times New Roman" w:hAnsi="Times New Roman" w:cs="Times New Roman"/>
          <w:sz w:val="24"/>
          <w:szCs w:val="24"/>
        </w:rPr>
        <w:t xml:space="preserve"> For </w:t>
      </w:r>
      <w:proofErr w:type="spellStart"/>
      <w:r w:rsidRPr="009F7DC2">
        <w:rPr>
          <w:rFonts w:ascii="Times New Roman" w:eastAsia="Times New Roman" w:hAnsi="Times New Roman" w:cs="Times New Roman"/>
          <w:sz w:val="24"/>
          <w:szCs w:val="24"/>
        </w:rPr>
        <w:t>Communities</w:t>
      </w:r>
      <w:proofErr w:type="spellEnd"/>
      <w:r w:rsidRPr="009F7DC2">
        <w:rPr>
          <w:rFonts w:ascii="Times New Roman" w:eastAsia="Times New Roman" w:hAnsi="Times New Roman" w:cs="Times New Roman"/>
          <w:sz w:val="24"/>
          <w:szCs w:val="24"/>
        </w:rPr>
        <w:t xml:space="preserve"> in Rural Mali » œuvre pour « l’Electrification rurale de 300 localités en mode hors réseau/mini réseau à partir des systèmes autonome d’énergie renouvelable (solaire PV, éolienne) ». </w:t>
      </w:r>
    </w:p>
    <w:p w:rsidR="00D75439" w:rsidRPr="000A7C78" w:rsidRDefault="00D75439" w:rsidP="00D75439">
      <w:pPr>
        <w:shd w:val="clear" w:color="auto" w:fill="FFFFFF"/>
        <w:rPr>
          <w:rFonts w:ascii="Times New Roman" w:hAnsi="Times New Roman" w:cs="Times New Roman"/>
          <w:b/>
          <w:bCs/>
          <w:color w:val="000000"/>
          <w:sz w:val="20"/>
          <w:szCs w:val="20"/>
          <w:highlight w:val="yellow"/>
        </w:rPr>
      </w:pPr>
    </w:p>
    <w:p w:rsidR="00D75439" w:rsidRPr="007C4220" w:rsidRDefault="002D5316" w:rsidP="00FA23B2">
      <w:pPr>
        <w:pStyle w:val="Titre2"/>
        <w:numPr>
          <w:ilvl w:val="1"/>
          <w:numId w:val="21"/>
        </w:numPr>
      </w:pPr>
      <w:bookmarkStart w:id="6" w:name="_Toc517278979"/>
      <w:r>
        <w:lastRenderedPageBreak/>
        <w:t>OBJECTIF GENERAL</w:t>
      </w:r>
      <w:bookmarkEnd w:id="6"/>
      <w:r w:rsidR="00D75439" w:rsidRPr="007C4220">
        <w:t xml:space="preserve"> </w:t>
      </w:r>
    </w:p>
    <w:p w:rsidR="00D75439" w:rsidRPr="00FA23B2" w:rsidRDefault="00452A95" w:rsidP="00FA23B2">
      <w:pPr>
        <w:shd w:val="clear" w:color="auto" w:fill="FFFFFF"/>
        <w:spacing w:after="0" w:line="360" w:lineRule="auto"/>
        <w:rPr>
          <w:rFonts w:ascii="Times New Roman" w:eastAsia="Times New Roman" w:hAnsi="Times New Roman" w:cs="Times New Roman"/>
          <w:sz w:val="24"/>
          <w:szCs w:val="24"/>
        </w:rPr>
      </w:pPr>
      <w:r w:rsidRPr="00FA23B2">
        <w:rPr>
          <w:rFonts w:ascii="Times New Roman" w:eastAsia="Times New Roman" w:hAnsi="Times New Roman" w:cs="Times New Roman"/>
          <w:sz w:val="24"/>
          <w:szCs w:val="24"/>
        </w:rPr>
        <w:t>Contribuer</w:t>
      </w:r>
      <w:r w:rsidR="00D75439" w:rsidRPr="00FA23B2">
        <w:rPr>
          <w:rFonts w:ascii="Times New Roman" w:eastAsia="Times New Roman" w:hAnsi="Times New Roman" w:cs="Times New Roman"/>
          <w:sz w:val="24"/>
          <w:szCs w:val="24"/>
        </w:rPr>
        <w:t xml:space="preserve"> à une meilleure intégration du genre dans le processus de mise en œuvre du projet « Green </w:t>
      </w:r>
      <w:proofErr w:type="spellStart"/>
      <w:r w:rsidR="00D75439" w:rsidRPr="00FA23B2">
        <w:rPr>
          <w:rFonts w:ascii="Times New Roman" w:eastAsia="Times New Roman" w:hAnsi="Times New Roman" w:cs="Times New Roman"/>
          <w:sz w:val="24"/>
          <w:szCs w:val="24"/>
        </w:rPr>
        <w:t>Energy</w:t>
      </w:r>
      <w:proofErr w:type="spellEnd"/>
      <w:r w:rsidR="00D75439" w:rsidRPr="00FA23B2">
        <w:rPr>
          <w:rFonts w:ascii="Times New Roman" w:eastAsia="Times New Roman" w:hAnsi="Times New Roman" w:cs="Times New Roman"/>
          <w:sz w:val="24"/>
          <w:szCs w:val="24"/>
        </w:rPr>
        <w:t xml:space="preserve"> Services </w:t>
      </w:r>
      <w:proofErr w:type="spellStart"/>
      <w:r w:rsidR="00D75439" w:rsidRPr="00FA23B2">
        <w:rPr>
          <w:rFonts w:ascii="Times New Roman" w:eastAsia="Times New Roman" w:hAnsi="Times New Roman" w:cs="Times New Roman"/>
          <w:sz w:val="24"/>
          <w:szCs w:val="24"/>
        </w:rPr>
        <w:t>Centers</w:t>
      </w:r>
      <w:proofErr w:type="spellEnd"/>
      <w:r w:rsidR="00D75439" w:rsidRPr="00FA23B2">
        <w:rPr>
          <w:rFonts w:ascii="Times New Roman" w:eastAsia="Times New Roman" w:hAnsi="Times New Roman" w:cs="Times New Roman"/>
          <w:sz w:val="24"/>
          <w:szCs w:val="24"/>
        </w:rPr>
        <w:t xml:space="preserve"> For </w:t>
      </w:r>
      <w:proofErr w:type="spellStart"/>
      <w:r w:rsidR="00D75439" w:rsidRPr="00FA23B2">
        <w:rPr>
          <w:rFonts w:ascii="Times New Roman" w:eastAsia="Times New Roman" w:hAnsi="Times New Roman" w:cs="Times New Roman"/>
          <w:sz w:val="24"/>
          <w:szCs w:val="24"/>
        </w:rPr>
        <w:t>Communities</w:t>
      </w:r>
      <w:proofErr w:type="spellEnd"/>
      <w:r w:rsidR="00D75439" w:rsidRPr="00FA23B2">
        <w:rPr>
          <w:rFonts w:ascii="Times New Roman" w:eastAsia="Times New Roman" w:hAnsi="Times New Roman" w:cs="Times New Roman"/>
          <w:sz w:val="24"/>
          <w:szCs w:val="24"/>
        </w:rPr>
        <w:t xml:space="preserve"> in Rural Mali » notamment « l’Electrification rurale de 300 localités en mode hors réseau/mini réseau à partir des systèmes autonome d’énergie renouvelable (solaire PV, éolienne) ».</w:t>
      </w:r>
    </w:p>
    <w:p w:rsidR="00D75439" w:rsidRPr="007C4220" w:rsidRDefault="00D75439" w:rsidP="00FA23B2">
      <w:pPr>
        <w:pStyle w:val="Paragraphedeliste"/>
        <w:ind w:left="2160"/>
      </w:pPr>
      <w:r w:rsidRPr="007C4220">
        <w:t>OBJECTIFS SPECIFIQUES</w:t>
      </w:r>
    </w:p>
    <w:p w:rsidR="00452A95" w:rsidRPr="00FA23B2" w:rsidRDefault="00452A95" w:rsidP="00FA23B2">
      <w:pPr>
        <w:numPr>
          <w:ilvl w:val="0"/>
          <w:numId w:val="24"/>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FA23B2">
        <w:rPr>
          <w:rFonts w:ascii="Times New Roman" w:hAnsi="Times New Roman" w:cs="Times New Roman"/>
          <w:color w:val="000000"/>
          <w:sz w:val="24"/>
          <w:szCs w:val="24"/>
        </w:rPr>
        <w:t>Améliorer la participation des femmes, des jeunes et autres dans la prise de décision et leur mise en œuvre au sein du projet à tous les niveaux ;</w:t>
      </w:r>
    </w:p>
    <w:p w:rsidR="00452A95" w:rsidRPr="00FA23B2" w:rsidRDefault="00452A95" w:rsidP="00FA23B2">
      <w:pPr>
        <w:numPr>
          <w:ilvl w:val="0"/>
          <w:numId w:val="24"/>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FA23B2">
        <w:rPr>
          <w:rFonts w:ascii="Times New Roman" w:hAnsi="Times New Roman" w:cs="Times New Roman"/>
          <w:color w:val="000000"/>
          <w:sz w:val="24"/>
          <w:szCs w:val="24"/>
        </w:rPr>
        <w:t>Encourager la collaboration entre les acteurs pour l’appropriation et la pérennisation des actions du projet</w:t>
      </w:r>
    </w:p>
    <w:p w:rsidR="00452A95" w:rsidRPr="00FA23B2" w:rsidRDefault="00452A95" w:rsidP="00FA23B2">
      <w:pPr>
        <w:numPr>
          <w:ilvl w:val="0"/>
          <w:numId w:val="24"/>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FA23B2">
        <w:rPr>
          <w:rFonts w:ascii="Times New Roman" w:hAnsi="Times New Roman" w:cs="Times New Roman"/>
          <w:color w:val="000000"/>
          <w:sz w:val="24"/>
          <w:szCs w:val="24"/>
        </w:rPr>
        <w:t>Améliorer l’accessibilité des femmes, des jeunes et autres aux opportunités d’apprentissage, de formation, offerts par le projet ;</w:t>
      </w:r>
    </w:p>
    <w:p w:rsidR="00452A95" w:rsidRPr="00FA23B2" w:rsidRDefault="00452A95" w:rsidP="00FA23B2">
      <w:pPr>
        <w:numPr>
          <w:ilvl w:val="0"/>
          <w:numId w:val="24"/>
        </w:numPr>
        <w:autoSpaceDE w:val="0"/>
        <w:autoSpaceDN w:val="0"/>
        <w:adjustRightInd w:val="0"/>
        <w:spacing w:after="0" w:line="360" w:lineRule="auto"/>
        <w:ind w:left="714" w:hanging="357"/>
        <w:rPr>
          <w:rFonts w:ascii="Times New Roman" w:hAnsi="Times New Roman" w:cs="Times New Roman"/>
          <w:color w:val="000000"/>
          <w:sz w:val="24"/>
          <w:szCs w:val="24"/>
        </w:rPr>
      </w:pPr>
      <w:r w:rsidRPr="00FA23B2">
        <w:rPr>
          <w:rFonts w:ascii="Times New Roman" w:hAnsi="Times New Roman" w:cs="Times New Roman"/>
          <w:color w:val="000000"/>
          <w:sz w:val="24"/>
          <w:szCs w:val="24"/>
        </w:rPr>
        <w:t>Favoriser l’information et la communication en vue d’intégrer le genre dans tout le processus</w:t>
      </w:r>
    </w:p>
    <w:p w:rsidR="00452A95" w:rsidRPr="00FA23B2" w:rsidRDefault="00452A95" w:rsidP="00FA23B2">
      <w:pPr>
        <w:numPr>
          <w:ilvl w:val="0"/>
          <w:numId w:val="24"/>
        </w:numPr>
        <w:autoSpaceDE w:val="0"/>
        <w:autoSpaceDN w:val="0"/>
        <w:adjustRightInd w:val="0"/>
        <w:spacing w:after="0" w:line="360" w:lineRule="auto"/>
        <w:ind w:left="714" w:hanging="357"/>
        <w:rPr>
          <w:rFonts w:ascii="Times New Roman" w:hAnsi="Times New Roman" w:cs="Times New Roman"/>
          <w:color w:val="000000"/>
          <w:sz w:val="24"/>
          <w:szCs w:val="24"/>
        </w:rPr>
      </w:pPr>
      <w:r w:rsidRPr="00FA23B2">
        <w:rPr>
          <w:rFonts w:ascii="Times New Roman" w:hAnsi="Times New Roman" w:cs="Times New Roman"/>
          <w:color w:val="000000"/>
          <w:sz w:val="24"/>
          <w:szCs w:val="24"/>
        </w:rPr>
        <w:t>Favoriser l’acquisition des connaissances en matière de Genre des membres de l’équipe du projet et des autres acteurs locaux ;</w:t>
      </w:r>
    </w:p>
    <w:p w:rsidR="00452A95" w:rsidRPr="00FA23B2" w:rsidRDefault="00452A95" w:rsidP="00FA23B2">
      <w:pPr>
        <w:numPr>
          <w:ilvl w:val="0"/>
          <w:numId w:val="24"/>
        </w:numPr>
        <w:autoSpaceDE w:val="0"/>
        <w:autoSpaceDN w:val="0"/>
        <w:adjustRightInd w:val="0"/>
        <w:spacing w:after="0" w:line="360" w:lineRule="auto"/>
        <w:ind w:left="714" w:hanging="357"/>
        <w:rPr>
          <w:rFonts w:ascii="Times New Roman" w:hAnsi="Times New Roman" w:cs="Times New Roman"/>
          <w:color w:val="000000"/>
          <w:sz w:val="24"/>
          <w:szCs w:val="24"/>
        </w:rPr>
      </w:pPr>
      <w:r w:rsidRPr="00FA23B2">
        <w:rPr>
          <w:rFonts w:ascii="Times New Roman" w:hAnsi="Times New Roman" w:cs="Times New Roman"/>
          <w:color w:val="000000"/>
          <w:sz w:val="24"/>
          <w:szCs w:val="24"/>
        </w:rPr>
        <w:t>Favoriser le partage des expériences, la capitalisation et la diffusion des bonnes pratiques</w:t>
      </w:r>
    </w:p>
    <w:p w:rsidR="00452A95" w:rsidRPr="00FA23B2" w:rsidRDefault="00452A95" w:rsidP="00FA23B2">
      <w:pPr>
        <w:numPr>
          <w:ilvl w:val="0"/>
          <w:numId w:val="24"/>
        </w:numPr>
        <w:autoSpaceDE w:val="0"/>
        <w:autoSpaceDN w:val="0"/>
        <w:adjustRightInd w:val="0"/>
        <w:spacing w:after="0" w:line="360" w:lineRule="auto"/>
        <w:ind w:left="714" w:hanging="357"/>
        <w:rPr>
          <w:rFonts w:ascii="Times New Roman" w:hAnsi="Times New Roman" w:cs="Times New Roman"/>
          <w:color w:val="000000"/>
          <w:sz w:val="24"/>
          <w:szCs w:val="24"/>
        </w:rPr>
      </w:pPr>
      <w:r w:rsidRPr="00FA23B2">
        <w:rPr>
          <w:rFonts w:ascii="Times New Roman" w:hAnsi="Times New Roman" w:cs="Times New Roman"/>
          <w:color w:val="000000"/>
          <w:sz w:val="24"/>
          <w:szCs w:val="24"/>
        </w:rPr>
        <w:t>Mettre en place le système de suivi évaluation p</w:t>
      </w:r>
      <w:r w:rsidR="00FA23B2" w:rsidRPr="00FA23B2">
        <w:rPr>
          <w:rFonts w:ascii="Times New Roman" w:hAnsi="Times New Roman" w:cs="Times New Roman"/>
          <w:color w:val="000000"/>
          <w:sz w:val="24"/>
          <w:szCs w:val="24"/>
        </w:rPr>
        <w:t>our l’atteinte des indicateurs.</w:t>
      </w:r>
    </w:p>
    <w:p w:rsidR="0056337E" w:rsidRPr="007C4220" w:rsidRDefault="00FA23B2" w:rsidP="00FA23B2">
      <w:pPr>
        <w:pStyle w:val="Paragraphedeliste"/>
        <w:ind w:left="2160"/>
      </w:pPr>
      <w:r>
        <w:t>RESULTATS A</w:t>
      </w:r>
      <w:r w:rsidR="0056337E">
        <w:t>TTENDUS</w:t>
      </w:r>
    </w:p>
    <w:p w:rsidR="0056337E" w:rsidRPr="00FA23B2" w:rsidRDefault="0056337E" w:rsidP="00FA23B2">
      <w:pPr>
        <w:numPr>
          <w:ilvl w:val="0"/>
          <w:numId w:val="25"/>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FA23B2">
        <w:rPr>
          <w:rFonts w:ascii="Times New Roman" w:hAnsi="Times New Roman" w:cs="Times New Roman"/>
          <w:color w:val="000000"/>
          <w:sz w:val="24"/>
          <w:szCs w:val="24"/>
        </w:rPr>
        <w:t>La participation des femmes, des jeunes et autres dans la prise de décision et leur mise en œuvre au sein du projet à tous les niveaux s’est améliorée ;</w:t>
      </w:r>
    </w:p>
    <w:p w:rsidR="0056337E" w:rsidRPr="00FA23B2" w:rsidRDefault="0056337E" w:rsidP="00FA23B2">
      <w:pPr>
        <w:numPr>
          <w:ilvl w:val="0"/>
          <w:numId w:val="25"/>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FA23B2">
        <w:rPr>
          <w:rFonts w:ascii="Times New Roman" w:hAnsi="Times New Roman" w:cs="Times New Roman"/>
          <w:color w:val="000000"/>
          <w:sz w:val="24"/>
          <w:szCs w:val="24"/>
        </w:rPr>
        <w:t>La collaboration entre les acteurs pour l’appropriation et la pérennisation des actions du projet est encouragée</w:t>
      </w:r>
    </w:p>
    <w:p w:rsidR="0056337E" w:rsidRPr="00FA23B2" w:rsidRDefault="0056337E" w:rsidP="00FA23B2">
      <w:pPr>
        <w:numPr>
          <w:ilvl w:val="0"/>
          <w:numId w:val="25"/>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FA23B2">
        <w:rPr>
          <w:rFonts w:ascii="Times New Roman" w:hAnsi="Times New Roman" w:cs="Times New Roman"/>
          <w:color w:val="000000"/>
          <w:sz w:val="24"/>
          <w:szCs w:val="24"/>
        </w:rPr>
        <w:t>L’accessibilité des femmes, des jeunes et autres aux opportunités d’apprentissage, de formation, offerts par le projet s’est améliorée ;</w:t>
      </w:r>
    </w:p>
    <w:p w:rsidR="0056337E" w:rsidRPr="00FA23B2" w:rsidRDefault="0056337E" w:rsidP="00FA23B2">
      <w:pPr>
        <w:numPr>
          <w:ilvl w:val="0"/>
          <w:numId w:val="25"/>
        </w:numPr>
        <w:autoSpaceDE w:val="0"/>
        <w:autoSpaceDN w:val="0"/>
        <w:adjustRightInd w:val="0"/>
        <w:spacing w:after="0" w:line="360" w:lineRule="auto"/>
        <w:ind w:left="714" w:hanging="357"/>
        <w:rPr>
          <w:rFonts w:ascii="Times New Roman" w:hAnsi="Times New Roman" w:cs="Times New Roman"/>
          <w:color w:val="000000"/>
          <w:sz w:val="24"/>
          <w:szCs w:val="24"/>
        </w:rPr>
      </w:pPr>
      <w:r w:rsidRPr="00FA23B2">
        <w:rPr>
          <w:rFonts w:ascii="Times New Roman" w:hAnsi="Times New Roman" w:cs="Times New Roman"/>
          <w:color w:val="000000"/>
          <w:sz w:val="24"/>
          <w:szCs w:val="24"/>
        </w:rPr>
        <w:t xml:space="preserve">L’information et la communication en vue d’intégrer le genre dans tout le processus </w:t>
      </w:r>
      <w:r w:rsidR="009F7DC2" w:rsidRPr="00FA23B2">
        <w:rPr>
          <w:rFonts w:ascii="Times New Roman" w:hAnsi="Times New Roman" w:cs="Times New Roman"/>
          <w:color w:val="000000"/>
          <w:sz w:val="24"/>
          <w:szCs w:val="24"/>
        </w:rPr>
        <w:t>sont</w:t>
      </w:r>
      <w:r w:rsidRPr="00FA23B2">
        <w:rPr>
          <w:rFonts w:ascii="Times New Roman" w:hAnsi="Times New Roman" w:cs="Times New Roman"/>
          <w:color w:val="000000"/>
          <w:sz w:val="24"/>
          <w:szCs w:val="24"/>
        </w:rPr>
        <w:t xml:space="preserve"> favorisée</w:t>
      </w:r>
      <w:r w:rsidR="009F7DC2" w:rsidRPr="00FA23B2">
        <w:rPr>
          <w:rFonts w:ascii="Times New Roman" w:hAnsi="Times New Roman" w:cs="Times New Roman"/>
          <w:color w:val="000000"/>
          <w:sz w:val="24"/>
          <w:szCs w:val="24"/>
        </w:rPr>
        <w:t>s</w:t>
      </w:r>
    </w:p>
    <w:p w:rsidR="0056337E" w:rsidRPr="00FA23B2" w:rsidRDefault="0056337E" w:rsidP="00FA23B2">
      <w:pPr>
        <w:numPr>
          <w:ilvl w:val="0"/>
          <w:numId w:val="25"/>
        </w:numPr>
        <w:autoSpaceDE w:val="0"/>
        <w:autoSpaceDN w:val="0"/>
        <w:adjustRightInd w:val="0"/>
        <w:spacing w:after="0" w:line="360" w:lineRule="auto"/>
        <w:ind w:left="714" w:hanging="357"/>
        <w:rPr>
          <w:rFonts w:ascii="Times New Roman" w:hAnsi="Times New Roman" w:cs="Times New Roman"/>
          <w:color w:val="000000"/>
          <w:sz w:val="24"/>
          <w:szCs w:val="24"/>
        </w:rPr>
      </w:pPr>
      <w:r w:rsidRPr="00FA23B2">
        <w:rPr>
          <w:rFonts w:ascii="Times New Roman" w:hAnsi="Times New Roman" w:cs="Times New Roman"/>
          <w:color w:val="000000"/>
          <w:sz w:val="24"/>
          <w:szCs w:val="24"/>
        </w:rPr>
        <w:t>L’acquisition des connaissances en matière de Genre des membres de l’équipe du projet et des autres acteurs locaux est favorisée ;</w:t>
      </w:r>
    </w:p>
    <w:p w:rsidR="0056337E" w:rsidRPr="00FA23B2" w:rsidRDefault="0056337E" w:rsidP="00FA23B2">
      <w:pPr>
        <w:numPr>
          <w:ilvl w:val="0"/>
          <w:numId w:val="25"/>
        </w:numPr>
        <w:autoSpaceDE w:val="0"/>
        <w:autoSpaceDN w:val="0"/>
        <w:adjustRightInd w:val="0"/>
        <w:spacing w:after="0" w:line="360" w:lineRule="auto"/>
        <w:ind w:left="714" w:hanging="357"/>
        <w:rPr>
          <w:rFonts w:ascii="Times New Roman" w:hAnsi="Times New Roman" w:cs="Times New Roman"/>
          <w:color w:val="000000"/>
          <w:sz w:val="24"/>
          <w:szCs w:val="24"/>
        </w:rPr>
      </w:pPr>
      <w:r w:rsidRPr="00FA23B2">
        <w:rPr>
          <w:rFonts w:ascii="Times New Roman" w:hAnsi="Times New Roman" w:cs="Times New Roman"/>
          <w:color w:val="000000"/>
          <w:sz w:val="24"/>
          <w:szCs w:val="24"/>
        </w:rPr>
        <w:t>Le partage des expériences, la capitalisation et la diffusion des bonnes pratiques sont favorisées</w:t>
      </w:r>
    </w:p>
    <w:p w:rsidR="0056337E" w:rsidRPr="00FA23B2" w:rsidRDefault="0056337E" w:rsidP="00FA23B2">
      <w:pPr>
        <w:numPr>
          <w:ilvl w:val="0"/>
          <w:numId w:val="25"/>
        </w:numPr>
        <w:autoSpaceDE w:val="0"/>
        <w:autoSpaceDN w:val="0"/>
        <w:adjustRightInd w:val="0"/>
        <w:spacing w:after="0" w:line="360" w:lineRule="auto"/>
        <w:ind w:left="714" w:hanging="357"/>
        <w:rPr>
          <w:rFonts w:ascii="Times New Roman" w:hAnsi="Times New Roman" w:cs="Times New Roman"/>
          <w:color w:val="000000"/>
          <w:sz w:val="24"/>
          <w:szCs w:val="24"/>
        </w:rPr>
      </w:pPr>
      <w:r w:rsidRPr="00FA23B2">
        <w:rPr>
          <w:rFonts w:ascii="Times New Roman" w:hAnsi="Times New Roman" w:cs="Times New Roman"/>
          <w:color w:val="000000"/>
          <w:sz w:val="24"/>
          <w:szCs w:val="24"/>
        </w:rPr>
        <w:t>Le système de suivi évaluation pour l’atteinte des indicateurs est mis en place</w:t>
      </w:r>
      <w:r w:rsidR="00FA23B2" w:rsidRPr="00FA23B2">
        <w:rPr>
          <w:rFonts w:ascii="Times New Roman" w:hAnsi="Times New Roman" w:cs="Times New Roman"/>
          <w:color w:val="000000"/>
          <w:sz w:val="24"/>
          <w:szCs w:val="24"/>
        </w:rPr>
        <w:t>.</w:t>
      </w:r>
    </w:p>
    <w:p w:rsidR="0056337E" w:rsidRPr="0056337E" w:rsidRDefault="0056337E" w:rsidP="0056337E">
      <w:pPr>
        <w:autoSpaceDE w:val="0"/>
        <w:autoSpaceDN w:val="0"/>
        <w:adjustRightInd w:val="0"/>
        <w:spacing w:after="0" w:line="240" w:lineRule="auto"/>
        <w:rPr>
          <w:color w:val="000000"/>
          <w:sz w:val="20"/>
          <w:szCs w:val="20"/>
        </w:rPr>
      </w:pPr>
    </w:p>
    <w:p w:rsidR="00D75439" w:rsidRPr="007C4220" w:rsidRDefault="00452A95" w:rsidP="00FA23B2">
      <w:pPr>
        <w:pStyle w:val="Titre2"/>
        <w:numPr>
          <w:ilvl w:val="1"/>
          <w:numId w:val="21"/>
        </w:numPr>
      </w:pPr>
      <w:bookmarkStart w:id="7" w:name="_Toc443908967"/>
      <w:bookmarkStart w:id="8" w:name="_Toc517278980"/>
      <w:r w:rsidRPr="007C4220">
        <w:lastRenderedPageBreak/>
        <w:t xml:space="preserve">CADRE D’ORIENTATION STRATEGIQUE DES ACTIONS VISANT L’INTEGRATION DU GENRE </w:t>
      </w:r>
      <w:bookmarkEnd w:id="7"/>
      <w:r w:rsidRPr="007C4220">
        <w:t>DANS LE PROJET</w:t>
      </w:r>
      <w:bookmarkEnd w:id="8"/>
      <w:r w:rsidRPr="007C4220">
        <w:t xml:space="preserve"> </w:t>
      </w:r>
    </w:p>
    <w:p w:rsidR="00D75439" w:rsidRPr="00FA23B2" w:rsidRDefault="00D75439" w:rsidP="00FA23B2">
      <w:pPr>
        <w:autoSpaceDE w:val="0"/>
        <w:autoSpaceDN w:val="0"/>
        <w:adjustRightInd w:val="0"/>
        <w:spacing w:before="120" w:after="120" w:line="360" w:lineRule="auto"/>
        <w:ind w:left="397"/>
        <w:jc w:val="both"/>
        <w:rPr>
          <w:rFonts w:ascii="Times New Roman" w:hAnsi="Times New Roman" w:cs="Times New Roman"/>
          <w:color w:val="000000"/>
          <w:sz w:val="24"/>
          <w:szCs w:val="24"/>
        </w:rPr>
      </w:pPr>
      <w:r w:rsidRPr="00FA23B2">
        <w:rPr>
          <w:rFonts w:ascii="Times New Roman" w:hAnsi="Times New Roman" w:cs="Times New Roman"/>
          <w:sz w:val="24"/>
          <w:szCs w:val="24"/>
        </w:rPr>
        <w:t xml:space="preserve">L’orientation de la stratégie de mise en œuvre des actions </w:t>
      </w:r>
      <w:r w:rsidRPr="00FA23B2">
        <w:rPr>
          <w:rFonts w:ascii="Times New Roman" w:hAnsi="Times New Roman" w:cs="Times New Roman"/>
          <w:color w:val="000000"/>
          <w:sz w:val="24"/>
          <w:szCs w:val="24"/>
        </w:rPr>
        <w:t xml:space="preserve">du projet </w:t>
      </w:r>
      <w:r w:rsidRPr="00FA23B2">
        <w:rPr>
          <w:rFonts w:ascii="Times New Roman" w:hAnsi="Times New Roman" w:cs="Times New Roman"/>
          <w:sz w:val="24"/>
          <w:szCs w:val="24"/>
        </w:rPr>
        <w:t>sera basée sur les acquis, les leçons apprises, et surtout des pratiques courantes de Genre de la PNG.</w:t>
      </w:r>
    </w:p>
    <w:p w:rsidR="00D75439" w:rsidRPr="00FA23B2" w:rsidRDefault="00D75439" w:rsidP="00FA23B2">
      <w:pPr>
        <w:autoSpaceDE w:val="0"/>
        <w:autoSpaceDN w:val="0"/>
        <w:adjustRightInd w:val="0"/>
        <w:spacing w:before="120" w:after="120" w:line="360" w:lineRule="auto"/>
        <w:ind w:left="397"/>
        <w:jc w:val="both"/>
        <w:rPr>
          <w:rFonts w:ascii="Times New Roman" w:hAnsi="Times New Roman" w:cs="Times New Roman"/>
          <w:sz w:val="24"/>
          <w:szCs w:val="24"/>
        </w:rPr>
      </w:pPr>
      <w:r w:rsidRPr="00FA23B2">
        <w:rPr>
          <w:rFonts w:ascii="Times New Roman" w:hAnsi="Times New Roman" w:cs="Times New Roman"/>
          <w:sz w:val="24"/>
          <w:szCs w:val="24"/>
        </w:rPr>
        <w:t>En effet, l’Approche Genre vise plutôt à instaurer et à préserver l’égalité de chance et de complémentarité afin que le sexe et ou toute autre forme de différence ne soient plus de facteurs déterminants de prise de décision qu’à rendre les hommes et les femmes identiques.</w:t>
      </w:r>
    </w:p>
    <w:p w:rsidR="001A6E66" w:rsidRPr="00FA23B2" w:rsidRDefault="00D75439" w:rsidP="00FA23B2">
      <w:pPr>
        <w:autoSpaceDE w:val="0"/>
        <w:autoSpaceDN w:val="0"/>
        <w:adjustRightInd w:val="0"/>
        <w:spacing w:before="120" w:after="120" w:line="360" w:lineRule="auto"/>
        <w:ind w:left="397"/>
        <w:jc w:val="both"/>
        <w:rPr>
          <w:rFonts w:ascii="Times New Roman" w:hAnsi="Times New Roman" w:cs="Times New Roman"/>
          <w:sz w:val="24"/>
          <w:szCs w:val="24"/>
        </w:rPr>
      </w:pPr>
      <w:r w:rsidRPr="00FA23B2">
        <w:rPr>
          <w:rFonts w:ascii="Times New Roman" w:hAnsi="Times New Roman" w:cs="Times New Roman"/>
          <w:sz w:val="24"/>
          <w:szCs w:val="24"/>
        </w:rPr>
        <w:t>En effet, le cadre d’orientation prendra en compte le genre dans la diversité et le respect de toute forme de différence. Le processus serait soutenu par de nouvelles initiatives d’adaptation durable aux changements climatiques, à travers les principes opérationnels, liés aux différents éléments de la gouvernance.</w:t>
      </w:r>
      <w:bookmarkStart w:id="9" w:name="_Toc517268000"/>
      <w:bookmarkStart w:id="10" w:name="_Toc443908968"/>
    </w:p>
    <w:p w:rsidR="00D75439" w:rsidRPr="00FA23B2" w:rsidRDefault="00D75439" w:rsidP="00FA23B2">
      <w:pPr>
        <w:pStyle w:val="Titre2"/>
        <w:spacing w:line="360" w:lineRule="auto"/>
        <w:jc w:val="both"/>
        <w:rPr>
          <w:rFonts w:ascii="Times New Roman" w:hAnsi="Times New Roman"/>
          <w:i w:val="0"/>
          <w:color w:val="323E4F" w:themeColor="text2" w:themeShade="BF"/>
          <w:sz w:val="24"/>
          <w:szCs w:val="24"/>
        </w:rPr>
      </w:pPr>
      <w:bookmarkStart w:id="11" w:name="_Toc517278981"/>
      <w:r w:rsidRPr="00FA23B2">
        <w:rPr>
          <w:rFonts w:ascii="Times New Roman" w:hAnsi="Times New Roman"/>
          <w:i w:val="0"/>
          <w:color w:val="323E4F" w:themeColor="text2" w:themeShade="BF"/>
          <w:sz w:val="24"/>
          <w:szCs w:val="24"/>
        </w:rPr>
        <w:t xml:space="preserve">Principaux axes stratégiques </w:t>
      </w:r>
      <w:r w:rsidR="00452A95" w:rsidRPr="00FA23B2">
        <w:rPr>
          <w:rFonts w:ascii="Times New Roman" w:hAnsi="Times New Roman"/>
          <w:i w:val="0"/>
          <w:color w:val="323E4F" w:themeColor="text2" w:themeShade="BF"/>
          <w:sz w:val="24"/>
          <w:szCs w:val="24"/>
        </w:rPr>
        <w:t>de prise en compte du</w:t>
      </w:r>
      <w:r w:rsidRPr="00FA23B2">
        <w:rPr>
          <w:rFonts w:ascii="Times New Roman" w:hAnsi="Times New Roman"/>
          <w:i w:val="0"/>
          <w:color w:val="323E4F" w:themeColor="text2" w:themeShade="BF"/>
          <w:sz w:val="24"/>
          <w:szCs w:val="24"/>
        </w:rPr>
        <w:t xml:space="preserve"> genre</w:t>
      </w:r>
      <w:bookmarkEnd w:id="9"/>
      <w:bookmarkEnd w:id="11"/>
      <w:r w:rsidRPr="00FA23B2">
        <w:rPr>
          <w:rFonts w:ascii="Times New Roman" w:hAnsi="Times New Roman"/>
          <w:i w:val="0"/>
          <w:color w:val="323E4F" w:themeColor="text2" w:themeShade="BF"/>
          <w:sz w:val="24"/>
          <w:szCs w:val="24"/>
        </w:rPr>
        <w:t xml:space="preserve"> </w:t>
      </w:r>
      <w:bookmarkEnd w:id="10"/>
      <w:r w:rsidR="00452A95" w:rsidRPr="00FA23B2">
        <w:rPr>
          <w:rFonts w:ascii="Times New Roman" w:hAnsi="Times New Roman"/>
          <w:i w:val="0"/>
          <w:color w:val="323E4F" w:themeColor="text2" w:themeShade="BF"/>
          <w:sz w:val="24"/>
          <w:szCs w:val="24"/>
        </w:rPr>
        <w:t xml:space="preserve"> </w:t>
      </w:r>
    </w:p>
    <w:p w:rsidR="00D75439" w:rsidRPr="00FA23B2" w:rsidRDefault="00D75439" w:rsidP="00FA23B2">
      <w:pPr>
        <w:pStyle w:val="Titre2"/>
        <w:numPr>
          <w:ilvl w:val="0"/>
          <w:numId w:val="16"/>
        </w:numPr>
        <w:spacing w:line="360" w:lineRule="auto"/>
        <w:jc w:val="both"/>
        <w:rPr>
          <w:rFonts w:ascii="Times New Roman" w:hAnsi="Times New Roman"/>
          <w:i w:val="0"/>
          <w:color w:val="323E4F" w:themeColor="text2" w:themeShade="BF"/>
          <w:sz w:val="24"/>
          <w:szCs w:val="24"/>
        </w:rPr>
      </w:pPr>
      <w:bookmarkStart w:id="12" w:name="_Toc517268001"/>
      <w:bookmarkStart w:id="13" w:name="_Toc517278982"/>
      <w:bookmarkStart w:id="14" w:name="_Toc443908969"/>
      <w:r w:rsidRPr="00FA23B2">
        <w:rPr>
          <w:rFonts w:ascii="Times New Roman" w:hAnsi="Times New Roman"/>
          <w:i w:val="0"/>
          <w:color w:val="323E4F" w:themeColor="text2" w:themeShade="BF"/>
          <w:sz w:val="24"/>
          <w:szCs w:val="24"/>
        </w:rPr>
        <w:t>Gouvernance institutionnelle et organisationnelle du projet</w:t>
      </w:r>
      <w:bookmarkEnd w:id="12"/>
      <w:bookmarkEnd w:id="13"/>
      <w:r w:rsidRPr="00FA23B2">
        <w:rPr>
          <w:rFonts w:ascii="Times New Roman" w:hAnsi="Times New Roman"/>
          <w:i w:val="0"/>
          <w:color w:val="323E4F" w:themeColor="text2" w:themeShade="BF"/>
          <w:sz w:val="24"/>
          <w:szCs w:val="24"/>
        </w:rPr>
        <w:t xml:space="preserve"> </w:t>
      </w:r>
      <w:bookmarkEnd w:id="14"/>
    </w:p>
    <w:p w:rsidR="00D75439" w:rsidRPr="00FA23B2" w:rsidRDefault="00D75439" w:rsidP="00FA23B2">
      <w:pPr>
        <w:autoSpaceDE w:val="0"/>
        <w:autoSpaceDN w:val="0"/>
        <w:adjustRightInd w:val="0"/>
        <w:spacing w:before="120" w:after="120" w:line="360" w:lineRule="auto"/>
        <w:ind w:left="397"/>
        <w:jc w:val="both"/>
        <w:rPr>
          <w:rFonts w:ascii="Times New Roman" w:hAnsi="Times New Roman" w:cs="Times New Roman"/>
          <w:color w:val="323E4F" w:themeColor="text2" w:themeShade="BF"/>
          <w:sz w:val="24"/>
          <w:szCs w:val="24"/>
        </w:rPr>
      </w:pPr>
      <w:r w:rsidRPr="00FA23B2">
        <w:rPr>
          <w:rFonts w:ascii="Times New Roman" w:hAnsi="Times New Roman" w:cs="Times New Roman"/>
          <w:color w:val="323E4F" w:themeColor="text2" w:themeShade="BF"/>
          <w:sz w:val="24"/>
          <w:szCs w:val="24"/>
        </w:rPr>
        <w:t>L’équipe dirigeante du projet doit opter pour la légalité à travers les lois et les textes en vigueur. Ainsi, pour les actions futures, il est important de prendre en compte de façon effective le Genre dans la proportion du personnel. Aussi, l’équipe doit porter une attention sur les proportions des responsabilités et prise de décision relatives aux personnels en tenant compte de la diversité. Ces principes doivent s’appliquer non seulement aux organes de gestion, mais aussi aux membres.</w:t>
      </w:r>
    </w:p>
    <w:p w:rsidR="00D75439" w:rsidRPr="00FA23B2" w:rsidRDefault="00D75439" w:rsidP="00FA23B2">
      <w:pPr>
        <w:pStyle w:val="Titre2"/>
        <w:numPr>
          <w:ilvl w:val="0"/>
          <w:numId w:val="16"/>
        </w:numPr>
        <w:spacing w:line="360" w:lineRule="auto"/>
        <w:jc w:val="both"/>
        <w:rPr>
          <w:rFonts w:ascii="Times New Roman" w:hAnsi="Times New Roman"/>
          <w:i w:val="0"/>
          <w:color w:val="323E4F" w:themeColor="text2" w:themeShade="BF"/>
          <w:sz w:val="24"/>
          <w:szCs w:val="24"/>
        </w:rPr>
      </w:pPr>
      <w:bookmarkStart w:id="15" w:name="_Toc517268002"/>
      <w:bookmarkStart w:id="16" w:name="_Toc517278983"/>
      <w:r w:rsidRPr="00FA23B2">
        <w:rPr>
          <w:rFonts w:ascii="Times New Roman" w:hAnsi="Times New Roman"/>
          <w:i w:val="0"/>
          <w:color w:val="323E4F" w:themeColor="text2" w:themeShade="BF"/>
          <w:sz w:val="24"/>
          <w:szCs w:val="24"/>
        </w:rPr>
        <w:t>Participation-Genre dans la mise en œuvre du projet</w:t>
      </w:r>
      <w:bookmarkEnd w:id="15"/>
      <w:bookmarkEnd w:id="16"/>
    </w:p>
    <w:p w:rsidR="00D75439" w:rsidRPr="00FA23B2" w:rsidRDefault="00D75439" w:rsidP="00FA23B2">
      <w:pPr>
        <w:autoSpaceDE w:val="0"/>
        <w:autoSpaceDN w:val="0"/>
        <w:adjustRightInd w:val="0"/>
        <w:spacing w:before="120" w:after="120" w:line="360" w:lineRule="auto"/>
        <w:ind w:left="397"/>
        <w:jc w:val="both"/>
        <w:rPr>
          <w:rFonts w:ascii="Times New Roman" w:hAnsi="Times New Roman" w:cs="Times New Roman"/>
          <w:color w:val="323E4F" w:themeColor="text2" w:themeShade="BF"/>
          <w:sz w:val="24"/>
          <w:szCs w:val="24"/>
        </w:rPr>
      </w:pPr>
      <w:r w:rsidRPr="00FA23B2">
        <w:rPr>
          <w:rFonts w:ascii="Times New Roman" w:hAnsi="Times New Roman" w:cs="Times New Roman"/>
          <w:color w:val="323E4F" w:themeColor="text2" w:themeShade="BF"/>
          <w:sz w:val="24"/>
          <w:szCs w:val="24"/>
        </w:rPr>
        <w:t xml:space="preserve">Dans le contexte du projet, la participation et l'implication de tous les acteurs (membres </w:t>
      </w:r>
      <w:r w:rsidRPr="00FA23B2">
        <w:rPr>
          <w:rFonts w:ascii="Times New Roman" w:hAnsi="Times New Roman" w:cs="Times New Roman"/>
          <w:bCs/>
          <w:color w:val="323E4F" w:themeColor="text2" w:themeShade="BF"/>
          <w:sz w:val="24"/>
          <w:szCs w:val="24"/>
        </w:rPr>
        <w:t>du projet</w:t>
      </w:r>
      <w:r w:rsidRPr="00FA23B2">
        <w:rPr>
          <w:rFonts w:ascii="Times New Roman" w:hAnsi="Times New Roman" w:cs="Times New Roman"/>
          <w:color w:val="323E4F" w:themeColor="text2" w:themeShade="BF"/>
          <w:sz w:val="24"/>
          <w:szCs w:val="24"/>
        </w:rPr>
        <w:t>, communautés et autorités) s’avèrent nécessaire sur une base d’équité et de complémentarité. Cela se situe à deux niveaux :</w:t>
      </w:r>
    </w:p>
    <w:p w:rsidR="00D75439" w:rsidRPr="00FA23B2" w:rsidRDefault="00D75439" w:rsidP="00FA23B2">
      <w:pPr>
        <w:pStyle w:val="Paragraphedeliste"/>
        <w:numPr>
          <w:ilvl w:val="0"/>
          <w:numId w:val="26"/>
        </w:numPr>
        <w:spacing w:line="360" w:lineRule="auto"/>
        <w:rPr>
          <w:color w:val="323E4F" w:themeColor="text2" w:themeShade="BF"/>
          <w:szCs w:val="24"/>
        </w:rPr>
      </w:pPr>
      <w:r w:rsidRPr="00FA23B2">
        <w:rPr>
          <w:color w:val="323E4F" w:themeColor="text2" w:themeShade="BF"/>
          <w:szCs w:val="24"/>
        </w:rPr>
        <w:t xml:space="preserve">Niveau du projet : le personnel féminin aussi bien que masculin, y compris les particularités, doivent être recrutés et formés de façon équitable. Il faudrait tenir compte de leurs besoins pratiques et stratégiques spécifiques lors du recrutement. Aussi, il est nécessaire et souhaitable que le personnel soit impliqué dans la mise en œuvre et le suivi-évaluation. </w:t>
      </w:r>
    </w:p>
    <w:p w:rsidR="00D75439" w:rsidRPr="00FA23B2" w:rsidRDefault="00D75439" w:rsidP="00FA23B2">
      <w:pPr>
        <w:pStyle w:val="Paragraphedeliste"/>
        <w:numPr>
          <w:ilvl w:val="0"/>
          <w:numId w:val="26"/>
        </w:numPr>
        <w:spacing w:line="360" w:lineRule="auto"/>
        <w:rPr>
          <w:color w:val="323E4F" w:themeColor="text2" w:themeShade="BF"/>
          <w:szCs w:val="24"/>
        </w:rPr>
      </w:pPr>
      <w:r w:rsidRPr="00FA23B2">
        <w:rPr>
          <w:color w:val="323E4F" w:themeColor="text2" w:themeShade="BF"/>
          <w:szCs w:val="24"/>
        </w:rPr>
        <w:t xml:space="preserve">Niveau des populations locales : Les femmes et les hommes, y compris celles et ceux issus de groupes les plus vulnérables, doivent être consultées sur leurs besoins spécifiques et leurs priorités en matière de changement. Elles doivent participer de façon équitable au diagnostic, la conception, la mise en œuvre, le </w:t>
      </w:r>
      <w:r w:rsidRPr="00FA23B2">
        <w:rPr>
          <w:color w:val="323E4F" w:themeColor="text2" w:themeShade="BF"/>
          <w:szCs w:val="24"/>
        </w:rPr>
        <w:lastRenderedPageBreak/>
        <w:t xml:space="preserve">suivi des activités et le partage des bénéfices générés grâce à l’intervention du projet. </w:t>
      </w:r>
    </w:p>
    <w:p w:rsidR="00D75439" w:rsidRPr="00FA23B2" w:rsidRDefault="00D75439" w:rsidP="00FA23B2">
      <w:pPr>
        <w:pStyle w:val="Paragraphedeliste"/>
        <w:numPr>
          <w:ilvl w:val="0"/>
          <w:numId w:val="26"/>
        </w:numPr>
        <w:spacing w:line="360" w:lineRule="auto"/>
        <w:rPr>
          <w:color w:val="323E4F" w:themeColor="text2" w:themeShade="BF"/>
          <w:szCs w:val="24"/>
        </w:rPr>
      </w:pPr>
      <w:r w:rsidRPr="00FA23B2">
        <w:rPr>
          <w:color w:val="323E4F" w:themeColor="text2" w:themeShade="BF"/>
          <w:szCs w:val="24"/>
        </w:rPr>
        <w:t>Les organes de gestion ou comités de gestion doivent être choisis de façon équilibrée et représentative. De même, les possibilités de participer aux activités de formation/emploi/volontariat sont importantes, si cela exige des mesures spéciales (temps (l’heure), lieu, formateur de même sexe que les participant(e)s, etc.), celles-ci doivent être connues et intégrées aux programmes/projets des activités.</w:t>
      </w:r>
    </w:p>
    <w:p w:rsidR="00D75439" w:rsidRPr="00FA23B2" w:rsidRDefault="00D75439" w:rsidP="00FA23B2">
      <w:pPr>
        <w:pStyle w:val="Titre2"/>
        <w:autoSpaceDE w:val="0"/>
        <w:autoSpaceDN w:val="0"/>
        <w:adjustRightInd w:val="0"/>
        <w:spacing w:line="360" w:lineRule="auto"/>
        <w:ind w:left="754"/>
        <w:jc w:val="both"/>
        <w:rPr>
          <w:rFonts w:ascii="Times New Roman" w:hAnsi="Times New Roman"/>
          <w:color w:val="323E4F" w:themeColor="text2" w:themeShade="BF"/>
          <w:sz w:val="24"/>
          <w:szCs w:val="24"/>
        </w:rPr>
      </w:pPr>
      <w:bookmarkStart w:id="17" w:name="_Toc517268003"/>
      <w:bookmarkStart w:id="18" w:name="_Toc517278984"/>
      <w:r w:rsidRPr="00FA23B2">
        <w:rPr>
          <w:rFonts w:ascii="Times New Roman" w:hAnsi="Times New Roman"/>
          <w:color w:val="323E4F" w:themeColor="text2" w:themeShade="BF"/>
          <w:sz w:val="24"/>
          <w:szCs w:val="24"/>
        </w:rPr>
        <w:t>Niveau du projet</w:t>
      </w:r>
      <w:r w:rsidRPr="00FA23B2">
        <w:rPr>
          <w:rFonts w:ascii="Times New Roman" w:hAnsi="Times New Roman"/>
          <w:b w:val="0"/>
          <w:i w:val="0"/>
          <w:color w:val="323E4F" w:themeColor="text2" w:themeShade="BF"/>
          <w:sz w:val="24"/>
          <w:szCs w:val="24"/>
        </w:rPr>
        <w:t xml:space="preserve"> : il s’agit de renforcer le partenariat avec les autres intervenants ce qui favoriserait la mobilisation des personnels à s’engager pour l’atteinte des résultats escomptés.</w:t>
      </w:r>
      <w:bookmarkEnd w:id="17"/>
      <w:bookmarkEnd w:id="18"/>
    </w:p>
    <w:p w:rsidR="00D75439" w:rsidRPr="00FA23B2" w:rsidRDefault="00D75439" w:rsidP="00FA23B2">
      <w:pPr>
        <w:pStyle w:val="Paragraphedeliste"/>
        <w:autoSpaceDE w:val="0"/>
        <w:autoSpaceDN w:val="0"/>
        <w:adjustRightInd w:val="0"/>
        <w:spacing w:line="360" w:lineRule="auto"/>
        <w:ind w:left="754"/>
        <w:contextualSpacing w:val="0"/>
        <w:rPr>
          <w:bCs/>
          <w:color w:val="323E4F" w:themeColor="text2" w:themeShade="BF"/>
          <w:szCs w:val="24"/>
        </w:rPr>
      </w:pPr>
      <w:r w:rsidRPr="00FA23B2">
        <w:rPr>
          <w:b/>
          <w:bCs/>
          <w:color w:val="323E4F" w:themeColor="text2" w:themeShade="BF"/>
          <w:szCs w:val="24"/>
        </w:rPr>
        <w:t>Niveau des populations locales</w:t>
      </w:r>
      <w:r w:rsidRPr="00FA23B2">
        <w:rPr>
          <w:bCs/>
          <w:color w:val="323E4F" w:themeColor="text2" w:themeShade="BF"/>
          <w:szCs w:val="24"/>
        </w:rPr>
        <w:t xml:space="preserve"> : A ce niveau, des synergies seront développées avec les collectivités locales, les services techniques et d’autres intervenants sensibles au GED pour amplifier les bénéfices des interventions en faveur des communautés. </w:t>
      </w:r>
    </w:p>
    <w:p w:rsidR="00D75439" w:rsidRPr="00FA23B2" w:rsidRDefault="00D75439" w:rsidP="00FA23B2">
      <w:pPr>
        <w:pStyle w:val="Paragraphedeliste"/>
        <w:autoSpaceDE w:val="0"/>
        <w:autoSpaceDN w:val="0"/>
        <w:adjustRightInd w:val="0"/>
        <w:spacing w:line="360" w:lineRule="auto"/>
        <w:ind w:left="754"/>
        <w:contextualSpacing w:val="0"/>
        <w:rPr>
          <w:bCs/>
          <w:color w:val="323E4F" w:themeColor="text2" w:themeShade="BF"/>
          <w:szCs w:val="24"/>
          <w:lang w:val="nb-NO"/>
        </w:rPr>
      </w:pPr>
      <w:r w:rsidRPr="00FA23B2">
        <w:rPr>
          <w:bCs/>
          <w:color w:val="323E4F" w:themeColor="text2" w:themeShade="BF"/>
          <w:szCs w:val="24"/>
          <w:lang w:val="nb-NO"/>
        </w:rPr>
        <w:t xml:space="preserve">La coopération avec les organisations locales de représentation des femmes et autres groupes, comme les jeunes et autres sera renforcée afin d'encourager la participation de toute la communauté à la promotion, la planification et la mise en œuvre du projet. </w:t>
      </w:r>
    </w:p>
    <w:p w:rsidR="00D75439" w:rsidRPr="00FA23B2" w:rsidRDefault="00D75439" w:rsidP="00FA23B2">
      <w:pPr>
        <w:pStyle w:val="Titre2"/>
        <w:numPr>
          <w:ilvl w:val="0"/>
          <w:numId w:val="16"/>
        </w:numPr>
        <w:spacing w:line="360" w:lineRule="auto"/>
        <w:jc w:val="both"/>
        <w:rPr>
          <w:rFonts w:ascii="Times New Roman" w:hAnsi="Times New Roman"/>
          <w:i w:val="0"/>
          <w:color w:val="323E4F" w:themeColor="text2" w:themeShade="BF"/>
          <w:sz w:val="24"/>
          <w:szCs w:val="24"/>
        </w:rPr>
      </w:pPr>
      <w:bookmarkStart w:id="19" w:name="_Toc517268004"/>
      <w:bookmarkStart w:id="20" w:name="_Toc517278985"/>
      <w:r w:rsidRPr="00FA23B2">
        <w:rPr>
          <w:rFonts w:ascii="Times New Roman" w:hAnsi="Times New Roman"/>
          <w:i w:val="0"/>
          <w:color w:val="323E4F" w:themeColor="text2" w:themeShade="BF"/>
          <w:sz w:val="24"/>
          <w:szCs w:val="24"/>
        </w:rPr>
        <w:t>Amélioration de l’accessibilité du GED dans le projet</w:t>
      </w:r>
      <w:bookmarkEnd w:id="19"/>
      <w:bookmarkEnd w:id="20"/>
      <w:r w:rsidRPr="00FA23B2">
        <w:rPr>
          <w:rFonts w:ascii="Times New Roman" w:hAnsi="Times New Roman"/>
          <w:i w:val="0"/>
          <w:color w:val="323E4F" w:themeColor="text2" w:themeShade="BF"/>
          <w:sz w:val="24"/>
          <w:szCs w:val="24"/>
        </w:rPr>
        <w:t xml:space="preserve"> </w:t>
      </w:r>
    </w:p>
    <w:p w:rsidR="00D75439" w:rsidRPr="00FA23B2" w:rsidRDefault="00D75439" w:rsidP="00FA23B2">
      <w:pPr>
        <w:pStyle w:val="Standard"/>
        <w:spacing w:before="120" w:after="120" w:line="360" w:lineRule="auto"/>
        <w:ind w:left="754"/>
        <w:jc w:val="both"/>
        <w:rPr>
          <w:rFonts w:cs="Times New Roman"/>
          <w:color w:val="323E4F" w:themeColor="text2" w:themeShade="BF"/>
        </w:rPr>
      </w:pPr>
      <w:r w:rsidRPr="00FA23B2">
        <w:rPr>
          <w:rFonts w:cs="Times New Roman"/>
          <w:b/>
          <w:color w:val="323E4F" w:themeColor="text2" w:themeShade="BF"/>
        </w:rPr>
        <w:t xml:space="preserve">Niveau du </w:t>
      </w:r>
      <w:r w:rsidRPr="00FA23B2">
        <w:rPr>
          <w:rFonts w:cs="Times New Roman"/>
          <w:color w:val="323E4F" w:themeColor="text2" w:themeShade="BF"/>
        </w:rPr>
        <w:t>projet : Le choix des critères de priorité des personnels du projet, l’accès au bien être professionnel et social doit s’opérer sur la base d'une analyse de genre et diversité afin de s'assurer que les personnels les plus marginalisés bénéficient bien de cet accès.</w:t>
      </w:r>
    </w:p>
    <w:p w:rsidR="00D75439" w:rsidRPr="00FA23B2" w:rsidRDefault="00D75439" w:rsidP="00FA23B2">
      <w:pPr>
        <w:pStyle w:val="Standard"/>
        <w:spacing w:before="120" w:after="120" w:line="360" w:lineRule="auto"/>
        <w:ind w:left="754"/>
        <w:jc w:val="both"/>
        <w:rPr>
          <w:rFonts w:cs="Times New Roman"/>
          <w:color w:val="323E4F" w:themeColor="text2" w:themeShade="BF"/>
        </w:rPr>
      </w:pPr>
      <w:r w:rsidRPr="00FA23B2">
        <w:rPr>
          <w:rFonts w:cs="Times New Roman"/>
          <w:b/>
          <w:color w:val="323E4F" w:themeColor="text2" w:themeShade="BF"/>
        </w:rPr>
        <w:t>Niveau des populations locales</w:t>
      </w:r>
      <w:r w:rsidRPr="00FA23B2">
        <w:rPr>
          <w:rFonts w:cs="Times New Roman"/>
          <w:color w:val="323E4F" w:themeColor="text2" w:themeShade="BF"/>
        </w:rPr>
        <w:t xml:space="preserve"> : sur consultation de la communauté de commun accord avec les collectivités, les contraintes et obstacles rencontrés par les femmes et les hommes, y compris celles et ceux issus de groupes les plus vulnérables doivent être identifiés. </w:t>
      </w:r>
    </w:p>
    <w:p w:rsidR="00D75439" w:rsidRPr="00FA23B2" w:rsidRDefault="00D75439" w:rsidP="00FA23B2">
      <w:pPr>
        <w:pStyle w:val="Titre2"/>
        <w:numPr>
          <w:ilvl w:val="0"/>
          <w:numId w:val="16"/>
        </w:numPr>
        <w:spacing w:line="360" w:lineRule="auto"/>
        <w:jc w:val="both"/>
        <w:rPr>
          <w:rFonts w:ascii="Times New Roman" w:hAnsi="Times New Roman"/>
          <w:i w:val="0"/>
          <w:color w:val="323E4F" w:themeColor="text2" w:themeShade="BF"/>
          <w:sz w:val="24"/>
          <w:szCs w:val="24"/>
        </w:rPr>
      </w:pPr>
      <w:bookmarkStart w:id="21" w:name="_Toc517268005"/>
      <w:bookmarkStart w:id="22" w:name="_Toc517278986"/>
      <w:r w:rsidRPr="00FA23B2">
        <w:rPr>
          <w:rFonts w:ascii="Times New Roman" w:hAnsi="Times New Roman"/>
          <w:i w:val="0"/>
          <w:color w:val="323E4F" w:themeColor="text2" w:themeShade="BF"/>
          <w:sz w:val="24"/>
          <w:szCs w:val="24"/>
        </w:rPr>
        <w:t>Information/Communication du Genre dans les Programmes de l’ANICT</w:t>
      </w:r>
      <w:bookmarkEnd w:id="21"/>
      <w:bookmarkEnd w:id="22"/>
    </w:p>
    <w:p w:rsidR="00D75439" w:rsidRPr="00FA23B2" w:rsidRDefault="00D75439" w:rsidP="00FA23B2">
      <w:pPr>
        <w:autoSpaceDE w:val="0"/>
        <w:autoSpaceDN w:val="0"/>
        <w:adjustRightInd w:val="0"/>
        <w:spacing w:before="120" w:after="120" w:line="360" w:lineRule="auto"/>
        <w:ind w:left="397"/>
        <w:jc w:val="both"/>
        <w:rPr>
          <w:rFonts w:ascii="Times New Roman" w:hAnsi="Times New Roman" w:cs="Times New Roman"/>
          <w:color w:val="323E4F" w:themeColor="text2" w:themeShade="BF"/>
          <w:sz w:val="24"/>
          <w:szCs w:val="24"/>
        </w:rPr>
      </w:pPr>
      <w:r w:rsidRPr="00FA23B2">
        <w:rPr>
          <w:rFonts w:ascii="Times New Roman" w:hAnsi="Times New Roman" w:cs="Times New Roman"/>
          <w:color w:val="323E4F" w:themeColor="text2" w:themeShade="BF"/>
          <w:sz w:val="24"/>
          <w:szCs w:val="24"/>
        </w:rPr>
        <w:t xml:space="preserve">La réussite de la lutte contre les effets néfastes des changements climatiques et l’émergence des initiatives locales d’adaptation dépendront des moyens mis en œuvre pour instaurer la communication entre les différents acteurs à tous les niveaux. Les radios rurales et toutes autres technologies de l’information et de la communication sont des opportunités dont l’exploitation de façon raisonnable et efficace améliorera le bien- être social et professionnel.  </w:t>
      </w:r>
    </w:p>
    <w:p w:rsidR="00D75439" w:rsidRPr="00FA23B2" w:rsidRDefault="00D75439" w:rsidP="00FA23B2">
      <w:pPr>
        <w:spacing w:before="120" w:after="120" w:line="360" w:lineRule="auto"/>
        <w:ind w:left="754"/>
        <w:jc w:val="both"/>
        <w:rPr>
          <w:rFonts w:ascii="Times New Roman" w:hAnsi="Times New Roman" w:cs="Times New Roman"/>
          <w:b/>
          <w:color w:val="323E4F" w:themeColor="text2" w:themeShade="BF"/>
          <w:sz w:val="24"/>
          <w:szCs w:val="24"/>
        </w:rPr>
      </w:pPr>
      <w:r w:rsidRPr="00FA23B2">
        <w:rPr>
          <w:rFonts w:ascii="Times New Roman" w:hAnsi="Times New Roman" w:cs="Times New Roman"/>
          <w:b/>
          <w:color w:val="323E4F" w:themeColor="text2" w:themeShade="BF"/>
          <w:sz w:val="24"/>
          <w:szCs w:val="24"/>
        </w:rPr>
        <w:t xml:space="preserve">Niveau </w:t>
      </w:r>
      <w:r w:rsidRPr="00FA23B2">
        <w:rPr>
          <w:rFonts w:ascii="Times New Roman" w:hAnsi="Times New Roman" w:cs="Times New Roman"/>
          <w:bCs/>
          <w:color w:val="323E4F" w:themeColor="text2" w:themeShade="BF"/>
          <w:sz w:val="24"/>
          <w:szCs w:val="24"/>
        </w:rPr>
        <w:t>du projet</w:t>
      </w:r>
      <w:r w:rsidRPr="00FA23B2">
        <w:rPr>
          <w:rFonts w:ascii="Times New Roman" w:hAnsi="Times New Roman" w:cs="Times New Roman"/>
          <w:b/>
          <w:color w:val="323E4F" w:themeColor="text2" w:themeShade="BF"/>
          <w:sz w:val="24"/>
          <w:szCs w:val="24"/>
        </w:rPr>
        <w:t xml:space="preserve"> : </w:t>
      </w:r>
      <w:r w:rsidRPr="00FA23B2">
        <w:rPr>
          <w:rFonts w:ascii="Times New Roman" w:hAnsi="Times New Roman" w:cs="Times New Roman"/>
          <w:color w:val="323E4F" w:themeColor="text2" w:themeShade="BF"/>
          <w:sz w:val="24"/>
          <w:szCs w:val="24"/>
        </w:rPr>
        <w:t xml:space="preserve">la communication constitue un maillon important et incontournable pour la vie associative. L'accessibilité à l'information implique le droit de rechercher, obtenir et communiquer des informations sur les sujets d’ordre social, professionnel. Le </w:t>
      </w:r>
      <w:r w:rsidRPr="00FA23B2">
        <w:rPr>
          <w:rFonts w:ascii="Times New Roman" w:hAnsi="Times New Roman" w:cs="Times New Roman"/>
          <w:color w:val="323E4F" w:themeColor="text2" w:themeShade="BF"/>
          <w:sz w:val="24"/>
          <w:szCs w:val="24"/>
        </w:rPr>
        <w:lastRenderedPageBreak/>
        <w:t xml:space="preserve">projet doit faire en sorte que les personnels intervenants soient suffisamment informés sur leurs droits mais aussi sur leurs devoirs avec des opportunités d’apprentissage et de formation. </w:t>
      </w:r>
    </w:p>
    <w:p w:rsidR="001A6E66" w:rsidRPr="00FA23B2" w:rsidRDefault="001A6E66" w:rsidP="00FA23B2">
      <w:pPr>
        <w:spacing w:before="120" w:after="120" w:line="360" w:lineRule="auto"/>
        <w:ind w:left="754"/>
        <w:jc w:val="both"/>
        <w:rPr>
          <w:rFonts w:ascii="Times New Roman" w:hAnsi="Times New Roman" w:cs="Times New Roman"/>
          <w:b/>
          <w:color w:val="323E4F" w:themeColor="text2" w:themeShade="BF"/>
          <w:sz w:val="24"/>
          <w:szCs w:val="24"/>
        </w:rPr>
      </w:pPr>
    </w:p>
    <w:p w:rsidR="00D75439" w:rsidRPr="00FA23B2" w:rsidRDefault="00D75439" w:rsidP="00FA23B2">
      <w:pPr>
        <w:spacing w:before="120" w:after="120" w:line="360" w:lineRule="auto"/>
        <w:ind w:left="754"/>
        <w:jc w:val="both"/>
        <w:rPr>
          <w:rFonts w:ascii="Times New Roman" w:hAnsi="Times New Roman" w:cs="Times New Roman"/>
          <w:color w:val="323E4F" w:themeColor="text2" w:themeShade="BF"/>
          <w:sz w:val="24"/>
          <w:szCs w:val="24"/>
        </w:rPr>
      </w:pPr>
      <w:r w:rsidRPr="00FA23B2">
        <w:rPr>
          <w:rFonts w:ascii="Times New Roman" w:hAnsi="Times New Roman" w:cs="Times New Roman"/>
          <w:b/>
          <w:color w:val="323E4F" w:themeColor="text2" w:themeShade="BF"/>
          <w:sz w:val="24"/>
          <w:szCs w:val="24"/>
        </w:rPr>
        <w:t>Niveau des populations locales</w:t>
      </w:r>
      <w:r w:rsidRPr="00FA23B2">
        <w:rPr>
          <w:rFonts w:ascii="Times New Roman" w:hAnsi="Times New Roman" w:cs="Times New Roman"/>
          <w:color w:val="323E4F" w:themeColor="text2" w:themeShade="BF"/>
          <w:sz w:val="24"/>
          <w:szCs w:val="24"/>
        </w:rPr>
        <w:t xml:space="preserve"> : Un autre axe d’orientation du GED au niveau local consiste à concevoir et à mettre en œuvre une stratégie de communication, destinée aussi bien aux femmes qu’aux hommes et autre forme de différence. </w:t>
      </w:r>
    </w:p>
    <w:p w:rsidR="00D75439" w:rsidRPr="00FA23B2" w:rsidRDefault="00D75439" w:rsidP="00FA23B2">
      <w:pPr>
        <w:spacing w:before="120" w:after="120" w:line="360" w:lineRule="auto"/>
        <w:ind w:left="754"/>
        <w:jc w:val="both"/>
        <w:rPr>
          <w:rFonts w:ascii="Times New Roman" w:hAnsi="Times New Roman" w:cs="Times New Roman"/>
          <w:color w:val="323E4F" w:themeColor="text2" w:themeShade="BF"/>
          <w:sz w:val="24"/>
          <w:szCs w:val="24"/>
        </w:rPr>
      </w:pPr>
      <w:r w:rsidRPr="00FA23B2">
        <w:rPr>
          <w:rFonts w:ascii="Times New Roman" w:hAnsi="Times New Roman" w:cs="Times New Roman"/>
          <w:color w:val="323E4F" w:themeColor="text2" w:themeShade="BF"/>
          <w:sz w:val="24"/>
          <w:szCs w:val="24"/>
        </w:rPr>
        <w:t xml:space="preserve">Ce processus vise d’une part à leur faire prendre conscience de l’impact du CC sur leur vie quotidienne et celle des populations rurales. D’autre part à leur faire connaître les possibilités de participer concrètement à l’élaboration et la mise en œuvre des innovations techniques et technologiques appropriées d’adaptation aux effets néfastes des CC. </w:t>
      </w:r>
    </w:p>
    <w:p w:rsidR="00D75439" w:rsidRPr="00FA23B2" w:rsidRDefault="00D75439" w:rsidP="00FA23B2">
      <w:pPr>
        <w:spacing w:before="120" w:after="120" w:line="360" w:lineRule="auto"/>
        <w:ind w:left="754"/>
        <w:jc w:val="both"/>
        <w:rPr>
          <w:rFonts w:ascii="Times New Roman" w:hAnsi="Times New Roman" w:cs="Times New Roman"/>
          <w:color w:val="323E4F" w:themeColor="text2" w:themeShade="BF"/>
          <w:sz w:val="24"/>
          <w:szCs w:val="24"/>
        </w:rPr>
      </w:pPr>
      <w:r w:rsidRPr="00FA23B2">
        <w:rPr>
          <w:rFonts w:ascii="Times New Roman" w:hAnsi="Times New Roman" w:cs="Times New Roman"/>
          <w:color w:val="323E4F" w:themeColor="text2" w:themeShade="BF"/>
          <w:sz w:val="24"/>
          <w:szCs w:val="24"/>
        </w:rPr>
        <w:t xml:space="preserve">Pour mieux gérer la dimension sensibilité genre conflit, les mécanismes traditionnels existants seront renforcés avec la participation des structures communautaires formelles et/ou informelles, communicateurs </w:t>
      </w:r>
      <w:r w:rsidR="009F7DC2" w:rsidRPr="00FA23B2">
        <w:rPr>
          <w:rFonts w:ascii="Times New Roman" w:hAnsi="Times New Roman" w:cs="Times New Roman"/>
          <w:color w:val="323E4F" w:themeColor="text2" w:themeShade="BF"/>
          <w:sz w:val="24"/>
          <w:szCs w:val="24"/>
        </w:rPr>
        <w:t>traditionnels,</w:t>
      </w:r>
      <w:r w:rsidRPr="00FA23B2">
        <w:rPr>
          <w:rFonts w:ascii="Times New Roman" w:hAnsi="Times New Roman" w:cs="Times New Roman"/>
          <w:color w:val="323E4F" w:themeColor="text2" w:themeShade="BF"/>
          <w:sz w:val="24"/>
          <w:szCs w:val="24"/>
        </w:rPr>
        <w:t xml:space="preserve"> par le soutien et l’accompagnement des collectivités locales.</w:t>
      </w:r>
    </w:p>
    <w:p w:rsidR="00FA23B2" w:rsidRDefault="00FA23B2">
      <w:pPr>
        <w:spacing w:after="160" w:line="259" w:lineRule="auto"/>
        <w:rPr>
          <w:rFonts w:ascii="Times New Roman" w:hAnsi="Times New Roman" w:cs="Times New Roman"/>
          <w:color w:val="323E4F" w:themeColor="text2" w:themeShade="BF"/>
          <w:sz w:val="20"/>
          <w:szCs w:val="20"/>
        </w:rPr>
      </w:pPr>
      <w:r>
        <w:rPr>
          <w:rFonts w:ascii="Times New Roman" w:hAnsi="Times New Roman" w:cs="Times New Roman"/>
          <w:color w:val="323E4F" w:themeColor="text2" w:themeShade="BF"/>
          <w:sz w:val="20"/>
          <w:szCs w:val="20"/>
        </w:rPr>
        <w:br w:type="page"/>
      </w:r>
    </w:p>
    <w:p w:rsidR="00FA23B2" w:rsidRPr="00016F64" w:rsidRDefault="00FA23B2" w:rsidP="00D75439">
      <w:pPr>
        <w:spacing w:before="120" w:after="120" w:line="240" w:lineRule="auto"/>
        <w:ind w:left="754"/>
        <w:jc w:val="both"/>
        <w:rPr>
          <w:rFonts w:ascii="Times New Roman" w:hAnsi="Times New Roman" w:cs="Times New Roman"/>
          <w:color w:val="323E4F" w:themeColor="text2" w:themeShade="BF"/>
          <w:sz w:val="20"/>
          <w:szCs w:val="20"/>
        </w:rPr>
      </w:pPr>
    </w:p>
    <w:p w:rsidR="00D75439" w:rsidRPr="00016F64" w:rsidRDefault="00D75439" w:rsidP="00FA23B2">
      <w:pPr>
        <w:pStyle w:val="Titre1"/>
        <w:numPr>
          <w:ilvl w:val="0"/>
          <w:numId w:val="21"/>
        </w:numPr>
      </w:pPr>
      <w:bookmarkStart w:id="23" w:name="_Toc443908970"/>
      <w:bookmarkStart w:id="24" w:name="_Toc517278987"/>
      <w:r w:rsidRPr="00016F64">
        <w:t xml:space="preserve">STRATEGIE DE </w:t>
      </w:r>
      <w:r w:rsidR="00452A95" w:rsidRPr="00016F64">
        <w:t>PRISE EN COMPTE DU</w:t>
      </w:r>
      <w:r w:rsidRPr="00016F64">
        <w:t xml:space="preserve"> GENRE</w:t>
      </w:r>
      <w:bookmarkEnd w:id="23"/>
      <w:bookmarkEnd w:id="24"/>
    </w:p>
    <w:p w:rsidR="00D75439" w:rsidRPr="00FA23B2" w:rsidRDefault="00D75439" w:rsidP="00FA23B2">
      <w:pPr>
        <w:autoSpaceDE w:val="0"/>
        <w:autoSpaceDN w:val="0"/>
        <w:adjustRightInd w:val="0"/>
        <w:spacing w:before="120" w:after="120" w:line="360" w:lineRule="auto"/>
        <w:jc w:val="both"/>
        <w:rPr>
          <w:rFonts w:ascii="Times New Roman" w:hAnsi="Times New Roman" w:cs="Times New Roman"/>
          <w:bCs/>
          <w:color w:val="323E4F" w:themeColor="text2" w:themeShade="BF"/>
          <w:sz w:val="24"/>
          <w:szCs w:val="24"/>
        </w:rPr>
      </w:pPr>
      <w:r w:rsidRPr="00FA23B2">
        <w:rPr>
          <w:rFonts w:ascii="Times New Roman" w:hAnsi="Times New Roman" w:cs="Times New Roman"/>
          <w:bCs/>
          <w:color w:val="323E4F" w:themeColor="text2" w:themeShade="BF"/>
          <w:sz w:val="24"/>
          <w:szCs w:val="24"/>
        </w:rPr>
        <w:t>Le cadre institutionnel de la stratégie comporte trois niveaux à savoir celui de la coordination et suivi, du pilotage de la mise en œuvre et de l’exécution sur le terrain.</w:t>
      </w:r>
    </w:p>
    <w:p w:rsidR="00D75439" w:rsidRPr="00FA23B2" w:rsidRDefault="00D75439" w:rsidP="00FA23B2">
      <w:pPr>
        <w:numPr>
          <w:ilvl w:val="0"/>
          <w:numId w:val="7"/>
        </w:numPr>
        <w:autoSpaceDE w:val="0"/>
        <w:autoSpaceDN w:val="0"/>
        <w:adjustRightInd w:val="0"/>
        <w:spacing w:before="120" w:after="120" w:line="360" w:lineRule="auto"/>
        <w:jc w:val="both"/>
        <w:rPr>
          <w:rFonts w:ascii="Times New Roman" w:hAnsi="Times New Roman" w:cs="Times New Roman"/>
          <w:b/>
          <w:bCs/>
          <w:color w:val="323E4F" w:themeColor="text2" w:themeShade="BF"/>
          <w:sz w:val="24"/>
          <w:szCs w:val="24"/>
        </w:rPr>
      </w:pPr>
      <w:r w:rsidRPr="00FA23B2">
        <w:rPr>
          <w:rFonts w:ascii="Times New Roman" w:hAnsi="Times New Roman" w:cs="Times New Roman"/>
          <w:b/>
          <w:bCs/>
          <w:color w:val="323E4F" w:themeColor="text2" w:themeShade="BF"/>
          <w:sz w:val="24"/>
          <w:szCs w:val="24"/>
        </w:rPr>
        <w:t>Coordination et suivi</w:t>
      </w:r>
    </w:p>
    <w:p w:rsidR="00D75439" w:rsidRPr="00FA23B2" w:rsidRDefault="00D75439" w:rsidP="00FA23B2">
      <w:pPr>
        <w:autoSpaceDE w:val="0"/>
        <w:autoSpaceDN w:val="0"/>
        <w:adjustRightInd w:val="0"/>
        <w:spacing w:before="120" w:after="120" w:line="360" w:lineRule="auto"/>
        <w:ind w:left="397"/>
        <w:jc w:val="both"/>
        <w:rPr>
          <w:rFonts w:ascii="Times New Roman" w:hAnsi="Times New Roman" w:cs="Times New Roman"/>
          <w:color w:val="323E4F" w:themeColor="text2" w:themeShade="BF"/>
          <w:sz w:val="24"/>
          <w:szCs w:val="24"/>
        </w:rPr>
      </w:pPr>
      <w:r w:rsidRPr="00FA23B2">
        <w:rPr>
          <w:rFonts w:ascii="Times New Roman" w:hAnsi="Times New Roman" w:cs="Times New Roman"/>
          <w:b/>
          <w:bCs/>
          <w:color w:val="323E4F" w:themeColor="text2" w:themeShade="BF"/>
          <w:sz w:val="24"/>
          <w:szCs w:val="24"/>
        </w:rPr>
        <w:t>L</w:t>
      </w:r>
      <w:r w:rsidRPr="00FA23B2">
        <w:rPr>
          <w:rFonts w:ascii="Times New Roman" w:hAnsi="Times New Roman" w:cs="Times New Roman"/>
          <w:b/>
          <w:color w:val="323E4F" w:themeColor="text2" w:themeShade="BF"/>
          <w:sz w:val="24"/>
          <w:szCs w:val="24"/>
        </w:rPr>
        <w:t>e projet se chargera de faciliter la planification et le suivi de la mise en œuvre de la stratégie à tous les niveaux</w:t>
      </w:r>
      <w:r w:rsidRPr="00FA23B2">
        <w:rPr>
          <w:rFonts w:ascii="Times New Roman" w:hAnsi="Times New Roman" w:cs="Times New Roman"/>
          <w:color w:val="323E4F" w:themeColor="text2" w:themeShade="BF"/>
          <w:sz w:val="24"/>
          <w:szCs w:val="24"/>
        </w:rPr>
        <w:t>. Elle s’assurera également de l’atteinte des résultats par les membres avec l’appui des différents partenaires nationaux (mise à disposition de moyens humains et financiers), et la capitalisation de ceux-ci dans les processus.</w:t>
      </w:r>
    </w:p>
    <w:p w:rsidR="00D75439" w:rsidRPr="00FA23B2" w:rsidRDefault="00D75439" w:rsidP="00FA23B2">
      <w:pPr>
        <w:numPr>
          <w:ilvl w:val="0"/>
          <w:numId w:val="7"/>
        </w:numPr>
        <w:autoSpaceDE w:val="0"/>
        <w:autoSpaceDN w:val="0"/>
        <w:adjustRightInd w:val="0"/>
        <w:spacing w:before="120" w:after="120" w:line="360" w:lineRule="auto"/>
        <w:jc w:val="both"/>
        <w:rPr>
          <w:rFonts w:ascii="Times New Roman" w:hAnsi="Times New Roman" w:cs="Times New Roman"/>
          <w:b/>
          <w:bCs/>
          <w:color w:val="323E4F" w:themeColor="text2" w:themeShade="BF"/>
          <w:sz w:val="24"/>
          <w:szCs w:val="24"/>
        </w:rPr>
      </w:pPr>
      <w:r w:rsidRPr="00FA23B2">
        <w:rPr>
          <w:rFonts w:ascii="Times New Roman" w:hAnsi="Times New Roman" w:cs="Times New Roman"/>
          <w:b/>
          <w:bCs/>
          <w:color w:val="323E4F" w:themeColor="text2" w:themeShade="BF"/>
          <w:sz w:val="24"/>
          <w:szCs w:val="24"/>
        </w:rPr>
        <w:t xml:space="preserve">Le Pilotage de la mise en œuvre </w:t>
      </w:r>
    </w:p>
    <w:p w:rsidR="00D75439" w:rsidRPr="00FA23B2" w:rsidRDefault="00D75439" w:rsidP="00FA23B2">
      <w:pPr>
        <w:autoSpaceDE w:val="0"/>
        <w:autoSpaceDN w:val="0"/>
        <w:adjustRightInd w:val="0"/>
        <w:spacing w:before="120" w:after="120" w:line="360" w:lineRule="auto"/>
        <w:ind w:left="397"/>
        <w:jc w:val="both"/>
        <w:rPr>
          <w:rFonts w:ascii="Times New Roman" w:hAnsi="Times New Roman" w:cs="Times New Roman"/>
          <w:color w:val="323E4F" w:themeColor="text2" w:themeShade="BF"/>
          <w:sz w:val="24"/>
          <w:szCs w:val="24"/>
        </w:rPr>
      </w:pPr>
      <w:r w:rsidRPr="00FA23B2">
        <w:rPr>
          <w:rFonts w:ascii="Times New Roman" w:hAnsi="Times New Roman" w:cs="Times New Roman"/>
          <w:b/>
          <w:bCs/>
          <w:color w:val="323E4F" w:themeColor="text2" w:themeShade="BF"/>
          <w:sz w:val="24"/>
          <w:szCs w:val="24"/>
        </w:rPr>
        <w:t xml:space="preserve">Le pilotage de la stratégie serait assuré par un Groupe qui </w:t>
      </w:r>
      <w:r w:rsidRPr="00FA23B2">
        <w:rPr>
          <w:rFonts w:ascii="Times New Roman" w:hAnsi="Times New Roman" w:cs="Times New Roman"/>
          <w:color w:val="323E4F" w:themeColor="text2" w:themeShade="BF"/>
          <w:sz w:val="24"/>
          <w:szCs w:val="24"/>
        </w:rPr>
        <w:t>se chargera entre autres de l’orientation, de la facilitation des sessions de renforcement des capacités, du suivi périodique et du mécanisme de mise en œuvre de ladite stratégie.</w:t>
      </w:r>
    </w:p>
    <w:p w:rsidR="00D75439" w:rsidRPr="00FA23B2" w:rsidRDefault="00D75439" w:rsidP="00FA23B2">
      <w:pPr>
        <w:numPr>
          <w:ilvl w:val="0"/>
          <w:numId w:val="7"/>
        </w:numPr>
        <w:autoSpaceDE w:val="0"/>
        <w:autoSpaceDN w:val="0"/>
        <w:adjustRightInd w:val="0"/>
        <w:spacing w:before="120" w:after="120" w:line="360" w:lineRule="auto"/>
        <w:jc w:val="both"/>
        <w:rPr>
          <w:rFonts w:ascii="Times New Roman" w:hAnsi="Times New Roman" w:cs="Times New Roman"/>
          <w:b/>
          <w:bCs/>
          <w:color w:val="323E4F" w:themeColor="text2" w:themeShade="BF"/>
          <w:sz w:val="24"/>
          <w:szCs w:val="24"/>
        </w:rPr>
      </w:pPr>
      <w:bookmarkStart w:id="25" w:name="_Toc443908972"/>
      <w:r w:rsidRPr="00FA23B2">
        <w:rPr>
          <w:rFonts w:ascii="Times New Roman" w:hAnsi="Times New Roman" w:cs="Times New Roman"/>
          <w:b/>
          <w:bCs/>
          <w:color w:val="323E4F" w:themeColor="text2" w:themeShade="BF"/>
          <w:sz w:val="24"/>
          <w:szCs w:val="24"/>
        </w:rPr>
        <w:t xml:space="preserve">Exécution des actions </w:t>
      </w:r>
      <w:bookmarkEnd w:id="25"/>
      <w:r w:rsidR="00452A95" w:rsidRPr="00FA23B2">
        <w:rPr>
          <w:rFonts w:ascii="Times New Roman" w:hAnsi="Times New Roman" w:cs="Times New Roman"/>
          <w:b/>
          <w:bCs/>
          <w:color w:val="323E4F" w:themeColor="text2" w:themeShade="BF"/>
          <w:sz w:val="24"/>
          <w:szCs w:val="24"/>
        </w:rPr>
        <w:t>du projet</w:t>
      </w:r>
    </w:p>
    <w:p w:rsidR="004605D3" w:rsidRPr="00FA23B2" w:rsidRDefault="00D75439" w:rsidP="00FA23B2">
      <w:pPr>
        <w:autoSpaceDE w:val="0"/>
        <w:autoSpaceDN w:val="0"/>
        <w:adjustRightInd w:val="0"/>
        <w:spacing w:before="120" w:after="120" w:line="360" w:lineRule="auto"/>
        <w:ind w:left="397"/>
        <w:jc w:val="both"/>
        <w:rPr>
          <w:rFonts w:ascii="Times New Roman" w:hAnsi="Times New Roman" w:cs="Times New Roman"/>
          <w:color w:val="000000"/>
          <w:sz w:val="24"/>
          <w:szCs w:val="24"/>
        </w:rPr>
      </w:pPr>
      <w:r w:rsidRPr="00FA23B2">
        <w:rPr>
          <w:rFonts w:ascii="Times New Roman" w:hAnsi="Times New Roman" w:cs="Times New Roman"/>
          <w:b/>
          <w:bCs/>
          <w:color w:val="323E4F" w:themeColor="text2" w:themeShade="BF"/>
          <w:sz w:val="24"/>
          <w:szCs w:val="24"/>
        </w:rPr>
        <w:t>L’exécution</w:t>
      </w:r>
      <w:r w:rsidRPr="00FA23B2">
        <w:rPr>
          <w:rFonts w:ascii="Times New Roman" w:hAnsi="Times New Roman" w:cs="Times New Roman"/>
          <w:b/>
          <w:color w:val="323E4F" w:themeColor="text2" w:themeShade="BF"/>
          <w:sz w:val="24"/>
          <w:szCs w:val="24"/>
        </w:rPr>
        <w:t xml:space="preserve"> serait assurée par l’équipe du projet </w:t>
      </w:r>
      <w:r w:rsidRPr="00FA23B2">
        <w:rPr>
          <w:rFonts w:ascii="Times New Roman" w:hAnsi="Times New Roman" w:cs="Times New Roman"/>
          <w:color w:val="323E4F" w:themeColor="text2" w:themeShade="BF"/>
          <w:sz w:val="24"/>
          <w:szCs w:val="24"/>
        </w:rPr>
        <w:t xml:space="preserve">qui bénéficiera de l’accompagnement pour intégrer la dimension genre conforme à la stratégie </w:t>
      </w:r>
      <w:r w:rsidRPr="00FA23B2">
        <w:rPr>
          <w:rFonts w:ascii="Times New Roman" w:hAnsi="Times New Roman" w:cs="Times New Roman"/>
          <w:color w:val="000000"/>
          <w:sz w:val="24"/>
          <w:szCs w:val="24"/>
        </w:rPr>
        <w:t>genre du bailleur</w:t>
      </w:r>
      <w:bookmarkStart w:id="26" w:name="_Toc443908973"/>
      <w:r w:rsidR="004605D3" w:rsidRPr="00FA23B2">
        <w:rPr>
          <w:rFonts w:ascii="Times New Roman" w:hAnsi="Times New Roman" w:cs="Times New Roman"/>
          <w:color w:val="000000"/>
          <w:sz w:val="24"/>
          <w:szCs w:val="24"/>
        </w:rPr>
        <w:t xml:space="preserve">. </w:t>
      </w:r>
    </w:p>
    <w:p w:rsidR="00D75439" w:rsidRPr="00FA23B2" w:rsidRDefault="00D75439" w:rsidP="00FA23B2">
      <w:pPr>
        <w:numPr>
          <w:ilvl w:val="0"/>
          <w:numId w:val="7"/>
        </w:numPr>
        <w:autoSpaceDE w:val="0"/>
        <w:autoSpaceDN w:val="0"/>
        <w:adjustRightInd w:val="0"/>
        <w:spacing w:before="120" w:after="120" w:line="360" w:lineRule="auto"/>
        <w:jc w:val="both"/>
        <w:rPr>
          <w:rFonts w:ascii="Times New Roman" w:hAnsi="Times New Roman" w:cs="Times New Roman"/>
          <w:b/>
          <w:bCs/>
          <w:sz w:val="24"/>
          <w:szCs w:val="24"/>
        </w:rPr>
      </w:pPr>
      <w:r w:rsidRPr="00FA23B2">
        <w:rPr>
          <w:rFonts w:ascii="Times New Roman" w:hAnsi="Times New Roman" w:cs="Times New Roman"/>
          <w:b/>
          <w:bCs/>
          <w:sz w:val="24"/>
          <w:szCs w:val="24"/>
        </w:rPr>
        <w:t>Suivi-évaluation</w:t>
      </w:r>
      <w:bookmarkEnd w:id="26"/>
    </w:p>
    <w:p w:rsidR="00D75439" w:rsidRPr="00FA23B2" w:rsidRDefault="00D75439" w:rsidP="00FA23B2">
      <w:pPr>
        <w:autoSpaceDE w:val="0"/>
        <w:autoSpaceDN w:val="0"/>
        <w:adjustRightInd w:val="0"/>
        <w:spacing w:after="0" w:line="360" w:lineRule="auto"/>
        <w:jc w:val="both"/>
        <w:rPr>
          <w:rFonts w:ascii="Times New Roman" w:hAnsi="Times New Roman" w:cs="Times New Roman"/>
          <w:sz w:val="24"/>
          <w:szCs w:val="24"/>
        </w:rPr>
      </w:pPr>
      <w:r w:rsidRPr="00FA23B2">
        <w:rPr>
          <w:rFonts w:ascii="Times New Roman" w:hAnsi="Times New Roman" w:cs="Times New Roman"/>
          <w:color w:val="000000"/>
          <w:sz w:val="24"/>
          <w:szCs w:val="24"/>
        </w:rPr>
        <w:t>Un mécanisme de suivi-évaluation sera organisé tout au long du processus de mise en œuvre de la stratégie afin d’évaluer et de mesurer les progrès réalisés en termes d’inclusion de la dimension genre. Une approche participative sera adoptée pour évaluer l’avancement des activités et le niveau de réalisation des résultats. Le processus de suivi-évaluation engagera donc les acteurs directement concernés par l’intégration du genre au niveau du projet</w:t>
      </w:r>
      <w:r w:rsidRPr="00FA23B2">
        <w:rPr>
          <w:rFonts w:ascii="Times New Roman" w:hAnsi="Times New Roman" w:cs="Times New Roman"/>
          <w:sz w:val="24"/>
          <w:szCs w:val="24"/>
        </w:rPr>
        <w:t>.</w:t>
      </w:r>
      <w:r w:rsidR="00AC7422" w:rsidRPr="00FA23B2">
        <w:rPr>
          <w:rFonts w:ascii="Times New Roman" w:hAnsi="Times New Roman" w:cs="Times New Roman"/>
          <w:sz w:val="24"/>
          <w:szCs w:val="24"/>
        </w:rPr>
        <w:t xml:space="preserve"> Ces différents axes stratégiques sont complétés par le tableau d’implémentation ci-dessous :</w:t>
      </w:r>
    </w:p>
    <w:p w:rsidR="00FA23B2" w:rsidRPr="00FA23B2" w:rsidRDefault="00D75439" w:rsidP="00FA23B2">
      <w:pPr>
        <w:autoSpaceDE w:val="0"/>
        <w:autoSpaceDN w:val="0"/>
        <w:adjustRightInd w:val="0"/>
        <w:spacing w:after="0" w:line="360" w:lineRule="auto"/>
        <w:jc w:val="both"/>
        <w:rPr>
          <w:rFonts w:ascii="Times New Roman" w:hAnsi="Times New Roman" w:cs="Times New Roman"/>
          <w:b/>
          <w:sz w:val="24"/>
          <w:szCs w:val="24"/>
        </w:rPr>
        <w:sectPr w:rsidR="00FA23B2" w:rsidRPr="00FA23B2" w:rsidSect="008652AE">
          <w:footerReference w:type="first" r:id="rId9"/>
          <w:pgSz w:w="11906" w:h="16838"/>
          <w:pgMar w:top="426" w:right="991" w:bottom="1417" w:left="1417" w:header="708" w:footer="708" w:gutter="0"/>
          <w:pgNumType w:start="0"/>
          <w:cols w:space="708"/>
          <w:titlePg/>
          <w:docGrid w:linePitch="360"/>
        </w:sectPr>
      </w:pPr>
      <w:r w:rsidRPr="00FA23B2">
        <w:rPr>
          <w:rFonts w:ascii="Times New Roman" w:hAnsi="Times New Roman" w:cs="Times New Roman"/>
          <w:b/>
          <w:sz w:val="24"/>
          <w:szCs w:val="24"/>
        </w:rPr>
        <w:br w:type="page"/>
      </w:r>
    </w:p>
    <w:p w:rsidR="004605D3" w:rsidRDefault="00FA23B2" w:rsidP="00FA23B2">
      <w:pPr>
        <w:pStyle w:val="Lgende"/>
        <w:keepNext/>
      </w:pPr>
      <w:bookmarkStart w:id="27" w:name="_Toc517279179"/>
      <w:r>
        <w:lastRenderedPageBreak/>
        <w:t xml:space="preserve">Tableau </w:t>
      </w:r>
      <w:fldSimple w:instr=" SEQ Tableau \* ARABIC ">
        <w:r>
          <w:rPr>
            <w:noProof/>
          </w:rPr>
          <w:t>1</w:t>
        </w:r>
      </w:fldSimple>
      <w:r>
        <w:t> : Synthèse du plan d’action genre dans le cadre du projet</w:t>
      </w:r>
      <w:bookmarkEnd w:id="27"/>
    </w:p>
    <w:p w:rsidR="00FA23B2" w:rsidRDefault="00FA23B2"/>
    <w:tbl>
      <w:tblPr>
        <w:tblStyle w:val="Grilledutableau"/>
        <w:tblW w:w="15593" w:type="dxa"/>
        <w:tblInd w:w="-459" w:type="dxa"/>
        <w:tblLayout w:type="fixed"/>
        <w:tblLook w:val="04A0" w:firstRow="1" w:lastRow="0" w:firstColumn="1" w:lastColumn="0" w:noHBand="0" w:noVBand="1"/>
      </w:tblPr>
      <w:tblGrid>
        <w:gridCol w:w="2268"/>
        <w:gridCol w:w="3402"/>
        <w:gridCol w:w="2835"/>
        <w:gridCol w:w="2552"/>
        <w:gridCol w:w="2487"/>
        <w:gridCol w:w="2049"/>
      </w:tblGrid>
      <w:tr w:rsidR="00FA23B2" w:rsidRPr="001C51F3" w:rsidTr="00DB1BE1">
        <w:tc>
          <w:tcPr>
            <w:tcW w:w="2268" w:type="dxa"/>
            <w:tcBorders>
              <w:right w:val="single" w:sz="4" w:space="0" w:color="auto"/>
            </w:tcBorders>
            <w:shd w:val="clear" w:color="auto" w:fill="FFF2CC" w:themeFill="accent4" w:themeFillTint="33"/>
          </w:tcPr>
          <w:p w:rsidR="00FA23B2" w:rsidRPr="001C51F3" w:rsidRDefault="00FA23B2" w:rsidP="00DB1BE1">
            <w:pPr>
              <w:rPr>
                <w:rFonts w:ascii="Times New Roman" w:hAnsi="Times New Roman" w:cs="Times New Roman"/>
                <w:b/>
                <w:sz w:val="20"/>
                <w:szCs w:val="20"/>
                <w:lang w:val="en-US"/>
              </w:rPr>
            </w:pPr>
            <w:r w:rsidRPr="001C51F3">
              <w:rPr>
                <w:rFonts w:ascii="Times New Roman" w:hAnsi="Times New Roman" w:cs="Times New Roman"/>
                <w:b/>
                <w:i/>
                <w:sz w:val="20"/>
                <w:szCs w:val="20"/>
              </w:rPr>
              <w:t>COMPOSANTES</w:t>
            </w:r>
          </w:p>
        </w:tc>
        <w:tc>
          <w:tcPr>
            <w:tcW w:w="3402" w:type="dxa"/>
            <w:tcBorders>
              <w:left w:val="single" w:sz="4" w:space="0" w:color="auto"/>
            </w:tcBorders>
            <w:shd w:val="clear" w:color="auto" w:fill="FFF2CC" w:themeFill="accent4" w:themeFillTint="33"/>
          </w:tcPr>
          <w:p w:rsidR="00FA23B2" w:rsidRPr="001C51F3" w:rsidRDefault="00FA23B2" w:rsidP="00DB1BE1">
            <w:pPr>
              <w:ind w:left="456"/>
              <w:rPr>
                <w:rFonts w:ascii="Times New Roman" w:hAnsi="Times New Roman" w:cs="Times New Roman"/>
                <w:b/>
                <w:sz w:val="20"/>
                <w:szCs w:val="20"/>
                <w:lang w:val="en-US"/>
              </w:rPr>
            </w:pPr>
            <w:r w:rsidRPr="001C51F3">
              <w:rPr>
                <w:rFonts w:ascii="Times New Roman" w:hAnsi="Times New Roman" w:cs="Times New Roman"/>
                <w:b/>
                <w:sz w:val="20"/>
                <w:szCs w:val="20"/>
                <w:lang w:val="en-US"/>
              </w:rPr>
              <w:t>ACTIVITES</w:t>
            </w:r>
          </w:p>
        </w:tc>
        <w:tc>
          <w:tcPr>
            <w:tcW w:w="2835" w:type="dxa"/>
            <w:shd w:val="clear" w:color="auto" w:fill="FFF2CC" w:themeFill="accent4" w:themeFillTint="33"/>
          </w:tcPr>
          <w:p w:rsidR="00FA23B2" w:rsidRPr="001C51F3" w:rsidRDefault="00FA23B2" w:rsidP="00DB1BE1">
            <w:pPr>
              <w:rPr>
                <w:rFonts w:ascii="Times New Roman" w:hAnsi="Times New Roman" w:cs="Times New Roman"/>
                <w:b/>
                <w:sz w:val="20"/>
                <w:szCs w:val="20"/>
                <w:lang w:val="en-US"/>
              </w:rPr>
            </w:pPr>
            <w:proofErr w:type="spellStart"/>
            <w:r w:rsidRPr="001C51F3">
              <w:rPr>
                <w:rFonts w:ascii="Times New Roman" w:hAnsi="Times New Roman" w:cs="Times New Roman"/>
                <w:b/>
                <w:sz w:val="20"/>
                <w:szCs w:val="20"/>
                <w:lang w:val="en-US"/>
              </w:rPr>
              <w:t>Indicateurs</w:t>
            </w:r>
            <w:proofErr w:type="spellEnd"/>
            <w:r w:rsidRPr="001C51F3">
              <w:rPr>
                <w:rFonts w:ascii="Times New Roman" w:hAnsi="Times New Roman" w:cs="Times New Roman"/>
                <w:b/>
                <w:sz w:val="20"/>
                <w:szCs w:val="20"/>
                <w:lang w:val="en-US"/>
              </w:rPr>
              <w:t xml:space="preserve"> et </w:t>
            </w:r>
            <w:proofErr w:type="spellStart"/>
            <w:r w:rsidRPr="001C51F3">
              <w:rPr>
                <w:rFonts w:ascii="Times New Roman" w:hAnsi="Times New Roman" w:cs="Times New Roman"/>
                <w:b/>
                <w:sz w:val="20"/>
                <w:szCs w:val="20"/>
                <w:lang w:val="en-US"/>
              </w:rPr>
              <w:t>cibles</w:t>
            </w:r>
            <w:proofErr w:type="spellEnd"/>
          </w:p>
        </w:tc>
        <w:tc>
          <w:tcPr>
            <w:tcW w:w="2552" w:type="dxa"/>
            <w:shd w:val="clear" w:color="auto" w:fill="FFF2CC" w:themeFill="accent4" w:themeFillTint="33"/>
          </w:tcPr>
          <w:p w:rsidR="00FA23B2" w:rsidRPr="001C51F3" w:rsidRDefault="00FA23B2" w:rsidP="00DB1BE1">
            <w:pPr>
              <w:rPr>
                <w:rFonts w:ascii="Times New Roman" w:hAnsi="Times New Roman" w:cs="Times New Roman"/>
                <w:b/>
                <w:sz w:val="20"/>
                <w:szCs w:val="20"/>
              </w:rPr>
            </w:pPr>
            <w:r w:rsidRPr="001C51F3">
              <w:rPr>
                <w:rFonts w:ascii="Times New Roman" w:hAnsi="Times New Roman" w:cs="Times New Roman"/>
                <w:b/>
                <w:sz w:val="20"/>
                <w:szCs w:val="20"/>
              </w:rPr>
              <w:t>TIMELINE</w:t>
            </w:r>
          </w:p>
        </w:tc>
        <w:tc>
          <w:tcPr>
            <w:tcW w:w="2487" w:type="dxa"/>
            <w:shd w:val="clear" w:color="auto" w:fill="FFF2CC" w:themeFill="accent4" w:themeFillTint="33"/>
          </w:tcPr>
          <w:p w:rsidR="00FA23B2" w:rsidRPr="001C51F3" w:rsidRDefault="00FA23B2" w:rsidP="00DB1BE1">
            <w:pPr>
              <w:rPr>
                <w:rFonts w:ascii="Times New Roman" w:hAnsi="Times New Roman" w:cs="Times New Roman"/>
                <w:b/>
                <w:sz w:val="20"/>
                <w:szCs w:val="20"/>
              </w:rPr>
            </w:pPr>
            <w:r w:rsidRPr="001C51F3">
              <w:rPr>
                <w:rFonts w:ascii="Times New Roman" w:hAnsi="Times New Roman" w:cs="Times New Roman"/>
                <w:b/>
                <w:sz w:val="20"/>
                <w:szCs w:val="20"/>
              </w:rPr>
              <w:t>RESPONSABLE</w:t>
            </w:r>
          </w:p>
        </w:tc>
        <w:tc>
          <w:tcPr>
            <w:tcW w:w="2049" w:type="dxa"/>
            <w:shd w:val="clear" w:color="auto" w:fill="FFF2CC" w:themeFill="accent4" w:themeFillTint="33"/>
          </w:tcPr>
          <w:p w:rsidR="00FA23B2" w:rsidRPr="001C51F3" w:rsidRDefault="00FA23B2" w:rsidP="00DB1BE1">
            <w:pPr>
              <w:rPr>
                <w:rFonts w:ascii="Times New Roman" w:hAnsi="Times New Roman" w:cs="Times New Roman"/>
                <w:b/>
                <w:sz w:val="20"/>
                <w:szCs w:val="20"/>
              </w:rPr>
            </w:pPr>
            <w:r w:rsidRPr="001C51F3">
              <w:rPr>
                <w:rFonts w:ascii="Times New Roman" w:hAnsi="Times New Roman" w:cs="Times New Roman"/>
                <w:b/>
                <w:sz w:val="20"/>
                <w:szCs w:val="20"/>
              </w:rPr>
              <w:t>BUDGET US D</w:t>
            </w:r>
          </w:p>
        </w:tc>
      </w:tr>
      <w:tr w:rsidR="00FA23B2" w:rsidRPr="001C51F3" w:rsidTr="00DB1BE1">
        <w:tc>
          <w:tcPr>
            <w:tcW w:w="15593" w:type="dxa"/>
            <w:gridSpan w:val="6"/>
          </w:tcPr>
          <w:p w:rsidR="00FA23B2" w:rsidRPr="001C51F3" w:rsidRDefault="00FA23B2" w:rsidP="00DB1BE1">
            <w:pPr>
              <w:widowControl w:val="0"/>
              <w:autoSpaceDE w:val="0"/>
              <w:autoSpaceDN w:val="0"/>
              <w:adjustRightInd w:val="0"/>
              <w:rPr>
                <w:rFonts w:ascii="Times New Roman" w:hAnsi="Times New Roman" w:cs="Times New Roman"/>
                <w:i/>
                <w:sz w:val="20"/>
                <w:szCs w:val="20"/>
              </w:rPr>
            </w:pPr>
            <w:r w:rsidRPr="001C51F3">
              <w:rPr>
                <w:rFonts w:ascii="Times New Roman" w:hAnsi="Times New Roman" w:cs="Times New Roman"/>
                <w:i/>
                <w:sz w:val="20"/>
                <w:szCs w:val="20"/>
              </w:rPr>
              <w:t xml:space="preserve">La réalisation du « cadre de gestion environnementale et sociale (CGES) » contribuera à long termes à l’électrification en mode hors-réseau/mini réseau de </w:t>
            </w:r>
            <w:r>
              <w:rPr>
                <w:rFonts w:ascii="Times New Roman" w:hAnsi="Times New Roman" w:cs="Times New Roman"/>
                <w:i/>
                <w:sz w:val="20"/>
                <w:szCs w:val="20"/>
              </w:rPr>
              <w:t xml:space="preserve">70 villages </w:t>
            </w:r>
            <w:r w:rsidRPr="001C51F3">
              <w:rPr>
                <w:rFonts w:ascii="Times New Roman" w:hAnsi="Times New Roman" w:cs="Times New Roman"/>
                <w:i/>
                <w:sz w:val="20"/>
                <w:szCs w:val="20"/>
              </w:rPr>
              <w:t xml:space="preserve">  dont près de 50% de femmes et d’hommes à partir des systèmes d’énergie renouvelable (solaire photovoltaïque et éolienne) avec comme finalité l’évolution vers des solutions à faible intensité de carbone dans le secteur énergétique ,la réduction de la vulnérabilité dudit secteur face aux changements climatiques, liée aux énergies fossiles.</w:t>
            </w:r>
          </w:p>
          <w:p w:rsidR="00FA23B2" w:rsidRPr="001C51F3" w:rsidRDefault="00FA23B2" w:rsidP="00DB1BE1">
            <w:pPr>
              <w:widowControl w:val="0"/>
              <w:autoSpaceDE w:val="0"/>
              <w:autoSpaceDN w:val="0"/>
              <w:adjustRightInd w:val="0"/>
              <w:rPr>
                <w:rFonts w:ascii="Times New Roman" w:hAnsi="Times New Roman" w:cs="Times New Roman"/>
                <w:i/>
                <w:sz w:val="20"/>
                <w:szCs w:val="20"/>
              </w:rPr>
            </w:pPr>
            <w:r w:rsidRPr="001C51F3">
              <w:rPr>
                <w:rFonts w:ascii="Times New Roman" w:hAnsi="Times New Roman" w:cs="Times New Roman"/>
                <w:i/>
                <w:sz w:val="20"/>
                <w:szCs w:val="20"/>
              </w:rPr>
              <w:t>Les résultats intermédiaires et immédiats du projet engendreront des effets multiplicateurs  dont: l’amélioration de la santé de plus de 50% de femmes, d’hommes de jeunes et enfants par la réduction des gaz à effets de serre  avec à la prime ,l’ autonomisation économique de près de 50%femmes s’expliquant par l’amélioration de leur pouvoir d’achat, l’accès aux nouvelles opportunités économiques et environnementaux, la réduction de la déforestation d’environ 400 000 ha/an ; l’émission de 15,45 mégatonnes de dioxyde de carbone, représentant 94,33% du total des émissions de gaz à effet de serre (GES) du Mali en équivalent carbone</w:t>
            </w:r>
            <w:r w:rsidRPr="001C51F3">
              <w:rPr>
                <w:rFonts w:ascii="Times New Roman" w:hAnsi="Times New Roman" w:cs="Times New Roman"/>
                <w:i/>
                <w:sz w:val="20"/>
                <w:szCs w:val="20"/>
              </w:rPr>
              <w:endnoteReference w:id="2"/>
            </w:r>
            <w:r w:rsidRPr="001C51F3">
              <w:rPr>
                <w:rFonts w:ascii="Times New Roman" w:hAnsi="Times New Roman" w:cs="Times New Roman"/>
                <w:i/>
                <w:sz w:val="20"/>
                <w:szCs w:val="20"/>
              </w:rPr>
              <w:t> ; diminution du de la population face aux prix croissants des produits pétroliers.</w:t>
            </w:r>
          </w:p>
        </w:tc>
      </w:tr>
      <w:tr w:rsidR="00FA23B2" w:rsidRPr="001C51F3" w:rsidTr="00DB1BE1">
        <w:tc>
          <w:tcPr>
            <w:tcW w:w="15593" w:type="dxa"/>
            <w:gridSpan w:val="6"/>
          </w:tcPr>
          <w:p w:rsidR="00FA23B2" w:rsidRPr="001C51F3" w:rsidRDefault="00FA23B2" w:rsidP="00DB1BE1">
            <w:pPr>
              <w:autoSpaceDE w:val="0"/>
              <w:autoSpaceDN w:val="0"/>
              <w:adjustRightInd w:val="0"/>
              <w:spacing w:after="0" w:line="240" w:lineRule="auto"/>
              <w:jc w:val="both"/>
              <w:rPr>
                <w:rFonts w:ascii="Times New Roman" w:hAnsi="Times New Roman" w:cs="Times New Roman"/>
                <w:b/>
                <w:color w:val="000000"/>
                <w:sz w:val="20"/>
                <w:szCs w:val="20"/>
              </w:rPr>
            </w:pPr>
            <w:r w:rsidRPr="001C51F3">
              <w:rPr>
                <w:rFonts w:ascii="Times New Roman" w:hAnsi="Times New Roman" w:cs="Times New Roman"/>
                <w:b/>
                <w:color w:val="000000"/>
                <w:sz w:val="20"/>
                <w:szCs w:val="20"/>
              </w:rPr>
              <w:t xml:space="preserve">OUT PUT : </w:t>
            </w:r>
          </w:p>
          <w:p w:rsidR="00FA23B2" w:rsidRPr="001C51F3" w:rsidRDefault="00FA23B2" w:rsidP="00DB1BE1">
            <w:pPr>
              <w:pStyle w:val="Paragraphedeliste"/>
              <w:numPr>
                <w:ilvl w:val="0"/>
                <w:numId w:val="13"/>
              </w:numPr>
              <w:autoSpaceDE w:val="0"/>
              <w:autoSpaceDN w:val="0"/>
              <w:adjustRightInd w:val="0"/>
              <w:spacing w:after="0" w:line="240" w:lineRule="auto"/>
              <w:rPr>
                <w:color w:val="000000"/>
                <w:sz w:val="20"/>
                <w:szCs w:val="20"/>
              </w:rPr>
            </w:pPr>
            <w:r w:rsidRPr="001C51F3">
              <w:rPr>
                <w:color w:val="000000"/>
                <w:sz w:val="20"/>
                <w:szCs w:val="20"/>
              </w:rPr>
              <w:t>La participation des femmes, des jeunes et autres dans la prise de décision et leur mise en œuvre au sein du projet à tous les niveaux est effective ;</w:t>
            </w:r>
          </w:p>
          <w:p w:rsidR="00FA23B2" w:rsidRPr="001C51F3" w:rsidRDefault="00FA23B2" w:rsidP="00DB1BE1">
            <w:pPr>
              <w:pStyle w:val="Paragraphedeliste"/>
              <w:numPr>
                <w:ilvl w:val="0"/>
                <w:numId w:val="13"/>
              </w:numPr>
              <w:autoSpaceDE w:val="0"/>
              <w:autoSpaceDN w:val="0"/>
              <w:adjustRightInd w:val="0"/>
              <w:spacing w:after="0" w:line="240" w:lineRule="auto"/>
              <w:rPr>
                <w:color w:val="000000"/>
                <w:sz w:val="20"/>
                <w:szCs w:val="20"/>
              </w:rPr>
            </w:pPr>
            <w:r w:rsidRPr="001C51F3">
              <w:rPr>
                <w:color w:val="000000"/>
                <w:sz w:val="20"/>
                <w:szCs w:val="20"/>
              </w:rPr>
              <w:t>L’accessibilité de près de 50% femmes, des jeunes et autres, aux opportunités d’apprentissage, de formation, offerts par le projet est améliorée ;</w:t>
            </w:r>
          </w:p>
          <w:p w:rsidR="00FA23B2" w:rsidRPr="001C51F3" w:rsidRDefault="00FA23B2" w:rsidP="00DB1BE1">
            <w:pPr>
              <w:pStyle w:val="Paragraphedeliste"/>
              <w:numPr>
                <w:ilvl w:val="0"/>
                <w:numId w:val="13"/>
              </w:numPr>
              <w:autoSpaceDE w:val="0"/>
              <w:autoSpaceDN w:val="0"/>
              <w:adjustRightInd w:val="0"/>
              <w:spacing w:after="0" w:line="240" w:lineRule="auto"/>
              <w:rPr>
                <w:color w:val="000000"/>
                <w:sz w:val="20"/>
                <w:szCs w:val="20"/>
              </w:rPr>
            </w:pPr>
            <w:r w:rsidRPr="001C51F3">
              <w:rPr>
                <w:color w:val="000000"/>
                <w:sz w:val="20"/>
                <w:szCs w:val="20"/>
              </w:rPr>
              <w:t xml:space="preserve">L’information et la communication en vue d’intégrer le genre dans tout le processus </w:t>
            </w:r>
            <w:r>
              <w:rPr>
                <w:color w:val="000000"/>
                <w:sz w:val="20"/>
                <w:szCs w:val="20"/>
              </w:rPr>
              <w:t>sont</w:t>
            </w:r>
            <w:r w:rsidRPr="001C51F3">
              <w:rPr>
                <w:color w:val="000000"/>
                <w:sz w:val="20"/>
                <w:szCs w:val="20"/>
              </w:rPr>
              <w:t xml:space="preserve"> réelle</w:t>
            </w:r>
            <w:r>
              <w:rPr>
                <w:color w:val="000000"/>
                <w:sz w:val="20"/>
                <w:szCs w:val="20"/>
              </w:rPr>
              <w:t>s</w:t>
            </w:r>
          </w:p>
          <w:p w:rsidR="00FA23B2" w:rsidRPr="001C51F3" w:rsidRDefault="00FA23B2" w:rsidP="00DB1BE1">
            <w:pPr>
              <w:pStyle w:val="Paragraphedeliste"/>
              <w:numPr>
                <w:ilvl w:val="0"/>
                <w:numId w:val="13"/>
              </w:numPr>
              <w:autoSpaceDE w:val="0"/>
              <w:autoSpaceDN w:val="0"/>
              <w:adjustRightInd w:val="0"/>
              <w:spacing w:after="0" w:line="240" w:lineRule="auto"/>
              <w:rPr>
                <w:color w:val="000000"/>
                <w:sz w:val="20"/>
                <w:szCs w:val="20"/>
              </w:rPr>
            </w:pPr>
            <w:r w:rsidRPr="001C51F3">
              <w:rPr>
                <w:color w:val="000000"/>
                <w:sz w:val="20"/>
                <w:szCs w:val="20"/>
              </w:rPr>
              <w:t>L’acquisition des connaissances en matière de Genre des membres de l’équipe du projet et des autres acteurs locaux est effective ;</w:t>
            </w:r>
          </w:p>
          <w:p w:rsidR="00FA23B2" w:rsidRPr="001C51F3" w:rsidRDefault="00FA23B2" w:rsidP="00DB1BE1">
            <w:pPr>
              <w:pStyle w:val="Paragraphedeliste"/>
              <w:numPr>
                <w:ilvl w:val="0"/>
                <w:numId w:val="13"/>
              </w:numPr>
              <w:autoSpaceDE w:val="0"/>
              <w:autoSpaceDN w:val="0"/>
              <w:adjustRightInd w:val="0"/>
              <w:spacing w:after="0" w:line="240" w:lineRule="auto"/>
              <w:rPr>
                <w:color w:val="000000"/>
                <w:sz w:val="20"/>
                <w:szCs w:val="20"/>
              </w:rPr>
            </w:pPr>
            <w:r w:rsidRPr="001C51F3">
              <w:rPr>
                <w:color w:val="000000"/>
                <w:sz w:val="20"/>
                <w:szCs w:val="20"/>
              </w:rPr>
              <w:t>Le partage des expériences, la capitalisation et la diffusion des bonnes pratiques sont favorisés</w:t>
            </w:r>
          </w:p>
          <w:p w:rsidR="00FA23B2" w:rsidRPr="001C51F3" w:rsidRDefault="00FA23B2" w:rsidP="00DB1BE1">
            <w:pPr>
              <w:pStyle w:val="Paragraphedeliste"/>
              <w:numPr>
                <w:ilvl w:val="0"/>
                <w:numId w:val="13"/>
              </w:numPr>
              <w:autoSpaceDE w:val="0"/>
              <w:autoSpaceDN w:val="0"/>
              <w:adjustRightInd w:val="0"/>
              <w:spacing w:after="0" w:line="240" w:lineRule="auto"/>
              <w:rPr>
                <w:color w:val="000000"/>
                <w:sz w:val="20"/>
                <w:szCs w:val="20"/>
              </w:rPr>
            </w:pPr>
            <w:r w:rsidRPr="001C51F3">
              <w:rPr>
                <w:color w:val="000000"/>
                <w:sz w:val="20"/>
                <w:szCs w:val="20"/>
              </w:rPr>
              <w:t>Le système de suivi évaluation pour l’atteinte des indicateurs est mis en place.</w:t>
            </w:r>
          </w:p>
          <w:p w:rsidR="00FA23B2" w:rsidRPr="001C51F3" w:rsidRDefault="00FA23B2" w:rsidP="00DB1BE1">
            <w:pPr>
              <w:pStyle w:val="Default"/>
              <w:rPr>
                <w:rFonts w:ascii="Times New Roman" w:hAnsi="Times New Roman" w:cs="Times New Roman"/>
                <w:bCs/>
                <w:color w:val="auto"/>
                <w:sz w:val="20"/>
                <w:szCs w:val="20"/>
              </w:rPr>
            </w:pPr>
          </w:p>
        </w:tc>
      </w:tr>
      <w:tr w:rsidR="00FA23B2" w:rsidRPr="001C51F3" w:rsidTr="00DB1BE1">
        <w:trPr>
          <w:trHeight w:val="1703"/>
        </w:trPr>
        <w:tc>
          <w:tcPr>
            <w:tcW w:w="2268" w:type="dxa"/>
            <w:vMerge w:val="restart"/>
            <w:tcBorders>
              <w:right w:val="single" w:sz="4" w:space="0" w:color="auto"/>
            </w:tcBorders>
          </w:tcPr>
          <w:p w:rsidR="00FA23B2" w:rsidRPr="001C51F3" w:rsidRDefault="00FA23B2" w:rsidP="00DB1BE1">
            <w:pPr>
              <w:autoSpaceDE w:val="0"/>
              <w:autoSpaceDN w:val="0"/>
              <w:adjustRightInd w:val="0"/>
              <w:rPr>
                <w:rFonts w:ascii="Times New Roman" w:hAnsi="Times New Roman" w:cs="Times New Roman"/>
                <w:i/>
                <w:sz w:val="20"/>
                <w:szCs w:val="20"/>
              </w:rPr>
            </w:pPr>
            <w:r w:rsidRPr="001C51F3">
              <w:rPr>
                <w:rFonts w:ascii="Times New Roman" w:hAnsi="Times New Roman" w:cs="Times New Roman"/>
                <w:i/>
                <w:sz w:val="20"/>
                <w:szCs w:val="20"/>
              </w:rPr>
              <w:t>1 : Renforcement des capacités institutionnelles des acteurs</w:t>
            </w:r>
          </w:p>
        </w:tc>
        <w:tc>
          <w:tcPr>
            <w:tcW w:w="3402" w:type="dxa"/>
            <w:tcBorders>
              <w:left w:val="single" w:sz="4" w:space="0" w:color="auto"/>
              <w:bottom w:val="single" w:sz="4" w:space="0" w:color="auto"/>
            </w:tcBorders>
          </w:tcPr>
          <w:p w:rsidR="00FA23B2" w:rsidRPr="001C51F3" w:rsidRDefault="00FA23B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rPr>
            </w:pPr>
            <w:r w:rsidRPr="001C51F3">
              <w:rPr>
                <w:rFonts w:eastAsiaTheme="minorEastAsia"/>
                <w:i/>
                <w:sz w:val="20"/>
                <w:szCs w:val="20"/>
                <w:lang w:eastAsia="fr-FR"/>
              </w:rPr>
              <w:t>Sensibilisation pour renforcer le partenariat et la participation-Genre (</w:t>
            </w:r>
            <w:r w:rsidRPr="001C51F3">
              <w:rPr>
                <w:rFonts w:eastAsiaTheme="minorEastAsia"/>
                <w:i/>
                <w:sz w:val="20"/>
                <w:szCs w:val="20"/>
              </w:rPr>
              <w:t xml:space="preserve">La coopérative des femmes du </w:t>
            </w:r>
            <w:r w:rsidRPr="001C51F3">
              <w:rPr>
                <w:i/>
                <w:sz w:val="20"/>
                <w:szCs w:val="20"/>
              </w:rPr>
              <w:t>Village</w:t>
            </w:r>
            <w:r w:rsidRPr="001C51F3">
              <w:rPr>
                <w:rFonts w:eastAsiaTheme="minorEastAsia"/>
                <w:i/>
                <w:sz w:val="20"/>
                <w:szCs w:val="20"/>
              </w:rPr>
              <w:t>, du CVD, de la chefferie, les autres leaders communautaires des 70villages</w:t>
            </w:r>
            <w:r w:rsidRPr="001C51F3">
              <w:rPr>
                <w:rFonts w:eastAsiaTheme="minorEastAsia"/>
                <w:i/>
                <w:sz w:val="20"/>
                <w:szCs w:val="20"/>
                <w:lang w:eastAsia="fr-FR"/>
              </w:rPr>
              <w:t>) dans la mise en œuvre des programmes de CGES</w:t>
            </w:r>
          </w:p>
        </w:tc>
        <w:tc>
          <w:tcPr>
            <w:tcW w:w="2835" w:type="dxa"/>
            <w:tcBorders>
              <w:bottom w:val="single" w:sz="4" w:space="0" w:color="auto"/>
            </w:tcBorders>
          </w:tcPr>
          <w:p w:rsidR="00FA23B2" w:rsidRPr="001C51F3" w:rsidRDefault="00FA23B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proofErr w:type="spellStart"/>
            <w:r w:rsidRPr="001C51F3">
              <w:rPr>
                <w:rFonts w:eastAsiaTheme="minorEastAsia"/>
                <w:i/>
                <w:sz w:val="20"/>
                <w:szCs w:val="20"/>
                <w:lang w:eastAsia="fr-FR"/>
              </w:rPr>
              <w:t>Nbre</w:t>
            </w:r>
            <w:proofErr w:type="spellEnd"/>
            <w:r w:rsidRPr="001C51F3">
              <w:rPr>
                <w:rFonts w:eastAsiaTheme="minorEastAsia"/>
                <w:i/>
                <w:sz w:val="20"/>
                <w:szCs w:val="20"/>
                <w:lang w:eastAsia="fr-FR"/>
              </w:rPr>
              <w:t xml:space="preserve"> de femmes et d’hommes formés sur les modules : genre, intégration du genre dans les projets</w:t>
            </w:r>
          </w:p>
          <w:p w:rsidR="00FA23B2" w:rsidRPr="001C51F3" w:rsidRDefault="00FA23B2" w:rsidP="00DB1BE1">
            <w:pPr>
              <w:pStyle w:val="Paragraphedeliste"/>
              <w:autoSpaceDE w:val="0"/>
              <w:autoSpaceDN w:val="0"/>
              <w:adjustRightInd w:val="0"/>
              <w:spacing w:before="0" w:after="0"/>
              <w:ind w:left="360"/>
              <w:jc w:val="left"/>
              <w:rPr>
                <w:rFonts w:eastAsiaTheme="minorEastAsia"/>
                <w:i/>
                <w:sz w:val="20"/>
                <w:szCs w:val="20"/>
                <w:lang w:eastAsia="fr-FR"/>
              </w:rPr>
            </w:pPr>
          </w:p>
          <w:p w:rsidR="00FA23B2" w:rsidRPr="001C51F3" w:rsidRDefault="00FA23B2" w:rsidP="00DB1BE1">
            <w:pPr>
              <w:pStyle w:val="Paragraphedeliste"/>
              <w:autoSpaceDE w:val="0"/>
              <w:autoSpaceDN w:val="0"/>
              <w:adjustRightInd w:val="0"/>
              <w:spacing w:before="0" w:after="0"/>
              <w:ind w:left="360"/>
              <w:jc w:val="left"/>
              <w:rPr>
                <w:rFonts w:eastAsiaTheme="minorEastAsia"/>
                <w:i/>
                <w:sz w:val="20"/>
                <w:szCs w:val="20"/>
                <w:lang w:eastAsia="fr-FR"/>
              </w:rPr>
            </w:pPr>
          </w:p>
        </w:tc>
        <w:tc>
          <w:tcPr>
            <w:tcW w:w="2552" w:type="dxa"/>
            <w:tcBorders>
              <w:bottom w:val="single" w:sz="4" w:space="0" w:color="auto"/>
            </w:tcBorders>
          </w:tcPr>
          <w:p w:rsidR="00FA23B2" w:rsidRPr="001C51F3" w:rsidRDefault="00FA23B2" w:rsidP="00DB1BE1">
            <w:pPr>
              <w:rPr>
                <w:rFonts w:ascii="Times New Roman" w:hAnsi="Times New Roman" w:cs="Times New Roman"/>
                <w:sz w:val="20"/>
                <w:szCs w:val="20"/>
              </w:rPr>
            </w:pPr>
            <w:r w:rsidRPr="001C51F3">
              <w:rPr>
                <w:rFonts w:ascii="Times New Roman" w:hAnsi="Times New Roman" w:cs="Times New Roman"/>
                <w:sz w:val="20"/>
                <w:szCs w:val="20"/>
              </w:rPr>
              <w:t>18mois</w:t>
            </w:r>
          </w:p>
        </w:tc>
        <w:tc>
          <w:tcPr>
            <w:tcW w:w="2487" w:type="dxa"/>
            <w:vMerge w:val="restart"/>
          </w:tcPr>
          <w:p w:rsidR="00FA23B2" w:rsidRPr="001C51F3" w:rsidRDefault="00FA23B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1C51F3">
              <w:rPr>
                <w:rFonts w:eastAsiaTheme="minorEastAsia"/>
                <w:i/>
                <w:sz w:val="20"/>
                <w:szCs w:val="20"/>
                <w:lang w:eastAsia="fr-FR"/>
              </w:rPr>
              <w:t>Coordinateur du projet</w:t>
            </w:r>
          </w:p>
          <w:p w:rsidR="00FA23B2" w:rsidRPr="001C51F3" w:rsidRDefault="00FA23B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1C51F3">
              <w:rPr>
                <w:rFonts w:eastAsiaTheme="minorEastAsia"/>
                <w:i/>
                <w:sz w:val="20"/>
                <w:szCs w:val="20"/>
                <w:lang w:eastAsia="fr-FR"/>
              </w:rPr>
              <w:t>ST Energie verte</w:t>
            </w:r>
          </w:p>
          <w:p w:rsidR="00FA23B2" w:rsidRPr="001C51F3" w:rsidRDefault="00FA23B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1C51F3">
              <w:rPr>
                <w:rFonts w:eastAsiaTheme="minorEastAsia"/>
                <w:i/>
                <w:sz w:val="20"/>
                <w:szCs w:val="20"/>
                <w:lang w:eastAsia="fr-FR"/>
              </w:rPr>
              <w:t xml:space="preserve">Chef de la sauvegarde environnementale et sociale </w:t>
            </w:r>
          </w:p>
          <w:p w:rsidR="00FA23B2" w:rsidRPr="001C51F3" w:rsidRDefault="00FA23B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1C51F3">
              <w:rPr>
                <w:rFonts w:eastAsiaTheme="minorEastAsia"/>
                <w:i/>
                <w:sz w:val="20"/>
                <w:szCs w:val="20"/>
                <w:lang w:eastAsia="fr-FR"/>
              </w:rPr>
              <w:t xml:space="preserve">Chargé du suivi-évaluation genre </w:t>
            </w:r>
          </w:p>
          <w:p w:rsidR="00FA23B2" w:rsidRPr="001C51F3" w:rsidRDefault="00FA23B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rPr>
            </w:pPr>
            <w:r w:rsidRPr="001C51F3">
              <w:rPr>
                <w:rFonts w:eastAsiaTheme="minorEastAsia"/>
                <w:i/>
                <w:sz w:val="20"/>
                <w:szCs w:val="20"/>
                <w:lang w:eastAsia="fr-FR"/>
              </w:rPr>
              <w:t>Personnel d’appui</w:t>
            </w:r>
          </w:p>
          <w:p w:rsidR="00FA23B2" w:rsidRPr="001C51F3" w:rsidRDefault="00FA23B2" w:rsidP="00DB1BE1">
            <w:pPr>
              <w:pStyle w:val="Paragraphedeliste"/>
              <w:autoSpaceDE w:val="0"/>
              <w:autoSpaceDN w:val="0"/>
              <w:adjustRightInd w:val="0"/>
              <w:spacing w:before="0" w:after="0"/>
              <w:ind w:left="360"/>
              <w:jc w:val="left"/>
              <w:rPr>
                <w:rFonts w:eastAsiaTheme="minorEastAsia"/>
                <w:i/>
                <w:sz w:val="20"/>
                <w:szCs w:val="20"/>
                <w:lang w:eastAsia="fr-FR"/>
              </w:rPr>
            </w:pPr>
          </w:p>
        </w:tc>
        <w:tc>
          <w:tcPr>
            <w:tcW w:w="2049" w:type="dxa"/>
            <w:tcBorders>
              <w:bottom w:val="single" w:sz="4" w:space="0" w:color="auto"/>
            </w:tcBorders>
          </w:tcPr>
          <w:p w:rsidR="00FA23B2" w:rsidRPr="001C51F3" w:rsidRDefault="00FA23B2" w:rsidP="00DB1BE1">
            <w:pPr>
              <w:rPr>
                <w:rFonts w:ascii="Times New Roman" w:hAnsi="Times New Roman" w:cs="Times New Roman"/>
                <w:sz w:val="20"/>
                <w:szCs w:val="20"/>
              </w:rPr>
            </w:pPr>
            <w:r w:rsidRPr="001C51F3">
              <w:rPr>
                <w:rFonts w:ascii="Times New Roman" w:hAnsi="Times New Roman" w:cs="Times New Roman"/>
                <w:sz w:val="20"/>
                <w:szCs w:val="20"/>
              </w:rPr>
              <w:t>500.000</w:t>
            </w:r>
          </w:p>
        </w:tc>
      </w:tr>
      <w:tr w:rsidR="00FA23B2" w:rsidRPr="001C51F3" w:rsidTr="00DB1BE1">
        <w:trPr>
          <w:trHeight w:val="1355"/>
        </w:trPr>
        <w:tc>
          <w:tcPr>
            <w:tcW w:w="2268" w:type="dxa"/>
            <w:vMerge/>
            <w:tcBorders>
              <w:right w:val="single" w:sz="4" w:space="0" w:color="auto"/>
            </w:tcBorders>
          </w:tcPr>
          <w:p w:rsidR="00FA23B2" w:rsidRPr="001C51F3" w:rsidRDefault="00FA23B2" w:rsidP="00DB1BE1">
            <w:pPr>
              <w:autoSpaceDE w:val="0"/>
              <w:autoSpaceDN w:val="0"/>
              <w:adjustRightInd w:val="0"/>
              <w:rPr>
                <w:rFonts w:ascii="Times New Roman" w:hAnsi="Times New Roman" w:cs="Times New Roman"/>
                <w:i/>
                <w:sz w:val="20"/>
                <w:szCs w:val="20"/>
              </w:rPr>
            </w:pPr>
          </w:p>
        </w:tc>
        <w:tc>
          <w:tcPr>
            <w:tcW w:w="3402" w:type="dxa"/>
            <w:tcBorders>
              <w:top w:val="single" w:sz="4" w:space="0" w:color="auto"/>
              <w:left w:val="single" w:sz="4" w:space="0" w:color="auto"/>
            </w:tcBorders>
          </w:tcPr>
          <w:p w:rsidR="00FA23B2" w:rsidRPr="001C51F3" w:rsidRDefault="00FA23B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1C51F3">
              <w:rPr>
                <w:rFonts w:eastAsiaTheme="minorEastAsia"/>
                <w:i/>
                <w:sz w:val="20"/>
                <w:szCs w:val="20"/>
                <w:lang w:eastAsia="fr-FR"/>
              </w:rPr>
              <w:t xml:space="preserve">Renforcement des capacités en genre du projet de CGES, des membres et acteurs locaux par l’Information/Communication du Genre dans les Programmes de CGES à travers : des émissions </w:t>
            </w:r>
            <w:r w:rsidRPr="001C51F3">
              <w:rPr>
                <w:rFonts w:eastAsiaTheme="minorEastAsia"/>
                <w:i/>
                <w:sz w:val="20"/>
                <w:szCs w:val="20"/>
                <w:lang w:eastAsia="fr-FR"/>
              </w:rPr>
              <w:lastRenderedPageBreak/>
              <w:t>radios, conférences</w:t>
            </w:r>
          </w:p>
        </w:tc>
        <w:tc>
          <w:tcPr>
            <w:tcW w:w="2835" w:type="dxa"/>
            <w:tcBorders>
              <w:top w:val="single" w:sz="4" w:space="0" w:color="auto"/>
            </w:tcBorders>
          </w:tcPr>
          <w:p w:rsidR="00FA23B2" w:rsidRPr="001C51F3" w:rsidRDefault="00FA23B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rPr>
            </w:pPr>
            <w:proofErr w:type="spellStart"/>
            <w:r w:rsidRPr="001C51F3">
              <w:rPr>
                <w:rFonts w:eastAsiaTheme="minorEastAsia"/>
                <w:i/>
                <w:sz w:val="20"/>
                <w:szCs w:val="20"/>
                <w:lang w:eastAsia="fr-FR"/>
              </w:rPr>
              <w:lastRenderedPageBreak/>
              <w:t>Nbre</w:t>
            </w:r>
            <w:proofErr w:type="spellEnd"/>
            <w:r w:rsidRPr="001C51F3">
              <w:rPr>
                <w:rFonts w:eastAsiaTheme="minorEastAsia"/>
                <w:i/>
                <w:sz w:val="20"/>
                <w:szCs w:val="20"/>
                <w:lang w:eastAsia="fr-FR"/>
              </w:rPr>
              <w:t xml:space="preserve"> de </w:t>
            </w:r>
            <w:r w:rsidRPr="001C51F3">
              <w:rPr>
                <w:rFonts w:eastAsiaTheme="minorEastAsia"/>
                <w:i/>
                <w:sz w:val="20"/>
                <w:szCs w:val="20"/>
              </w:rPr>
              <w:t xml:space="preserve">La coopérative des femmes du </w:t>
            </w:r>
            <w:r w:rsidRPr="001C51F3">
              <w:rPr>
                <w:i/>
                <w:sz w:val="20"/>
                <w:szCs w:val="20"/>
              </w:rPr>
              <w:t>Village</w:t>
            </w:r>
            <w:r w:rsidRPr="001C51F3">
              <w:rPr>
                <w:rFonts w:eastAsiaTheme="minorEastAsia"/>
                <w:i/>
                <w:sz w:val="20"/>
                <w:szCs w:val="20"/>
              </w:rPr>
              <w:t>, du CVD, de la chefferie,</w:t>
            </w:r>
            <w:r w:rsidRPr="001C51F3">
              <w:rPr>
                <w:rFonts w:eastAsiaTheme="minorEastAsia"/>
                <w:i/>
                <w:sz w:val="20"/>
                <w:szCs w:val="20"/>
                <w:lang w:eastAsia="fr-FR"/>
              </w:rPr>
              <w:t xml:space="preserve"> sensibilisés par voies de presses (radio de proximité, conférences)</w:t>
            </w:r>
          </w:p>
          <w:p w:rsidR="00FA23B2" w:rsidRPr="001C51F3" w:rsidRDefault="00FA23B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proofErr w:type="spellStart"/>
            <w:r w:rsidRPr="001C51F3">
              <w:rPr>
                <w:rFonts w:eastAsiaTheme="minorEastAsia"/>
                <w:i/>
                <w:sz w:val="20"/>
                <w:szCs w:val="20"/>
                <w:lang w:eastAsia="fr-FR"/>
              </w:rPr>
              <w:lastRenderedPageBreak/>
              <w:t>Nbre</w:t>
            </w:r>
            <w:proofErr w:type="spellEnd"/>
            <w:r w:rsidRPr="001C51F3">
              <w:rPr>
                <w:rFonts w:eastAsiaTheme="minorEastAsia"/>
                <w:i/>
                <w:sz w:val="20"/>
                <w:szCs w:val="20"/>
                <w:lang w:eastAsia="fr-FR"/>
              </w:rPr>
              <w:t xml:space="preserve"> de messages radiodiffusés</w:t>
            </w:r>
          </w:p>
          <w:p w:rsidR="00FA23B2" w:rsidRPr="001C51F3" w:rsidRDefault="00FA23B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proofErr w:type="spellStart"/>
            <w:r w:rsidRPr="001C51F3">
              <w:rPr>
                <w:rFonts w:eastAsiaTheme="minorEastAsia"/>
                <w:i/>
                <w:sz w:val="20"/>
                <w:szCs w:val="20"/>
                <w:lang w:eastAsia="fr-FR"/>
              </w:rPr>
              <w:t>Nbre</w:t>
            </w:r>
            <w:proofErr w:type="spellEnd"/>
            <w:r w:rsidRPr="001C51F3">
              <w:rPr>
                <w:rFonts w:eastAsiaTheme="minorEastAsia"/>
                <w:i/>
                <w:sz w:val="20"/>
                <w:szCs w:val="20"/>
                <w:lang w:eastAsia="fr-FR"/>
              </w:rPr>
              <w:t xml:space="preserve"> de conférences organisées</w:t>
            </w:r>
          </w:p>
        </w:tc>
        <w:tc>
          <w:tcPr>
            <w:tcW w:w="2552" w:type="dxa"/>
            <w:tcBorders>
              <w:top w:val="single" w:sz="4" w:space="0" w:color="auto"/>
            </w:tcBorders>
          </w:tcPr>
          <w:p w:rsidR="00FA23B2" w:rsidRPr="001C51F3" w:rsidRDefault="00FA23B2" w:rsidP="00DB1BE1">
            <w:pPr>
              <w:rPr>
                <w:rFonts w:ascii="Times New Roman" w:hAnsi="Times New Roman" w:cs="Times New Roman"/>
                <w:sz w:val="20"/>
                <w:szCs w:val="20"/>
              </w:rPr>
            </w:pPr>
            <w:r w:rsidRPr="001C51F3">
              <w:rPr>
                <w:rFonts w:ascii="Times New Roman" w:hAnsi="Times New Roman" w:cs="Times New Roman"/>
                <w:sz w:val="20"/>
                <w:szCs w:val="20"/>
              </w:rPr>
              <w:lastRenderedPageBreak/>
              <w:t>12mois</w:t>
            </w:r>
          </w:p>
        </w:tc>
        <w:tc>
          <w:tcPr>
            <w:tcW w:w="2487" w:type="dxa"/>
            <w:vMerge/>
          </w:tcPr>
          <w:p w:rsidR="00FA23B2" w:rsidRPr="001C51F3" w:rsidRDefault="00FA23B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p>
        </w:tc>
        <w:tc>
          <w:tcPr>
            <w:tcW w:w="2049" w:type="dxa"/>
            <w:tcBorders>
              <w:top w:val="single" w:sz="4" w:space="0" w:color="auto"/>
            </w:tcBorders>
          </w:tcPr>
          <w:p w:rsidR="00FA23B2" w:rsidRPr="001C51F3" w:rsidRDefault="00FA23B2" w:rsidP="00DB1BE1">
            <w:pPr>
              <w:rPr>
                <w:rFonts w:ascii="Times New Roman" w:hAnsi="Times New Roman" w:cs="Times New Roman"/>
                <w:sz w:val="20"/>
                <w:szCs w:val="20"/>
              </w:rPr>
            </w:pPr>
            <w:r w:rsidRPr="001C51F3">
              <w:rPr>
                <w:rFonts w:ascii="Times New Roman" w:hAnsi="Times New Roman" w:cs="Times New Roman"/>
                <w:sz w:val="20"/>
                <w:szCs w:val="20"/>
              </w:rPr>
              <w:t>500.000</w:t>
            </w:r>
          </w:p>
        </w:tc>
      </w:tr>
      <w:tr w:rsidR="00FA23B2" w:rsidRPr="001C51F3" w:rsidTr="00DB1BE1">
        <w:tc>
          <w:tcPr>
            <w:tcW w:w="2268" w:type="dxa"/>
            <w:tcBorders>
              <w:right w:val="single" w:sz="4" w:space="0" w:color="auto"/>
            </w:tcBorders>
          </w:tcPr>
          <w:p w:rsidR="00FA23B2" w:rsidRPr="001C51F3" w:rsidRDefault="00FA23B2" w:rsidP="00DB1BE1">
            <w:pPr>
              <w:autoSpaceDE w:val="0"/>
              <w:autoSpaceDN w:val="0"/>
              <w:adjustRightInd w:val="0"/>
              <w:rPr>
                <w:rFonts w:ascii="Times New Roman" w:hAnsi="Times New Roman" w:cs="Times New Roman"/>
                <w:i/>
                <w:sz w:val="20"/>
                <w:szCs w:val="20"/>
              </w:rPr>
            </w:pPr>
            <w:r w:rsidRPr="001C51F3">
              <w:rPr>
                <w:rFonts w:ascii="Times New Roman" w:hAnsi="Times New Roman" w:cs="Times New Roman"/>
                <w:i/>
                <w:sz w:val="20"/>
                <w:szCs w:val="20"/>
              </w:rPr>
              <w:lastRenderedPageBreak/>
              <w:t>2 : Electrification de 300 communautés rurales en mode hors-réseau/mini réseau à base d’énergies renouvelables (solaire PV, éolienne)</w:t>
            </w:r>
          </w:p>
        </w:tc>
        <w:tc>
          <w:tcPr>
            <w:tcW w:w="3402" w:type="dxa"/>
            <w:tcBorders>
              <w:left w:val="single" w:sz="4" w:space="0" w:color="auto"/>
            </w:tcBorders>
          </w:tcPr>
          <w:p w:rsidR="00FA23B2" w:rsidRPr="001C51F3" w:rsidRDefault="00FA23B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1C51F3">
              <w:rPr>
                <w:rFonts w:eastAsiaTheme="minorEastAsia"/>
                <w:i/>
                <w:sz w:val="20"/>
                <w:szCs w:val="20"/>
                <w:lang w:eastAsia="fr-FR"/>
              </w:rPr>
              <w:t>Amélioration de l’accessibilité du Genre dans les Programmes de CGES,</w:t>
            </w:r>
          </w:p>
          <w:p w:rsidR="00FA23B2" w:rsidRPr="001C51F3" w:rsidRDefault="00FA23B2" w:rsidP="00DB1BE1">
            <w:pPr>
              <w:pStyle w:val="Paragraphedeliste"/>
              <w:numPr>
                <w:ilvl w:val="0"/>
                <w:numId w:val="2"/>
              </w:numPr>
              <w:autoSpaceDE w:val="0"/>
              <w:autoSpaceDN w:val="0"/>
              <w:adjustRightInd w:val="0"/>
              <w:spacing w:before="0" w:after="0" w:line="240" w:lineRule="auto"/>
              <w:jc w:val="left"/>
              <w:rPr>
                <w:i/>
                <w:sz w:val="20"/>
                <w:szCs w:val="20"/>
              </w:rPr>
            </w:pPr>
          </w:p>
        </w:tc>
        <w:tc>
          <w:tcPr>
            <w:tcW w:w="2835" w:type="dxa"/>
          </w:tcPr>
          <w:p w:rsidR="00FA23B2" w:rsidRPr="001C51F3" w:rsidRDefault="00FA23B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rPr>
            </w:pPr>
            <w:proofErr w:type="spellStart"/>
            <w:r w:rsidRPr="001C51F3">
              <w:rPr>
                <w:rFonts w:eastAsiaTheme="minorEastAsia"/>
                <w:i/>
                <w:sz w:val="20"/>
                <w:szCs w:val="20"/>
                <w:lang w:eastAsia="fr-FR"/>
              </w:rPr>
              <w:t>Nbre</w:t>
            </w:r>
            <w:proofErr w:type="spellEnd"/>
            <w:r w:rsidRPr="001C51F3">
              <w:rPr>
                <w:rFonts w:eastAsiaTheme="minorEastAsia"/>
                <w:i/>
                <w:sz w:val="20"/>
                <w:szCs w:val="20"/>
                <w:lang w:eastAsia="fr-FR"/>
              </w:rPr>
              <w:t xml:space="preserve"> de communautés rurales (l</w:t>
            </w:r>
            <w:r w:rsidRPr="001C51F3">
              <w:rPr>
                <w:rFonts w:eastAsiaTheme="minorEastAsia"/>
                <w:i/>
                <w:sz w:val="20"/>
                <w:szCs w:val="20"/>
              </w:rPr>
              <w:t xml:space="preserve">a coopérative des femmes du </w:t>
            </w:r>
            <w:r w:rsidRPr="001C51F3">
              <w:rPr>
                <w:i/>
                <w:sz w:val="20"/>
                <w:szCs w:val="20"/>
              </w:rPr>
              <w:t>Village</w:t>
            </w:r>
            <w:r w:rsidRPr="001C51F3">
              <w:rPr>
                <w:rFonts w:eastAsiaTheme="minorEastAsia"/>
                <w:i/>
                <w:sz w:val="20"/>
                <w:szCs w:val="20"/>
              </w:rPr>
              <w:t>, du CVD, de la chefferie</w:t>
            </w:r>
            <w:r w:rsidRPr="001C51F3">
              <w:rPr>
                <w:rFonts w:eastAsiaTheme="minorEastAsia"/>
                <w:i/>
                <w:sz w:val="20"/>
                <w:szCs w:val="20"/>
                <w:lang w:eastAsia="fr-FR"/>
              </w:rPr>
              <w:t>) ayant accès en mode hors-réseau / mini réseau à base d’énergies renouvelables (solaire PV, éolienne)</w:t>
            </w:r>
          </w:p>
        </w:tc>
        <w:tc>
          <w:tcPr>
            <w:tcW w:w="2552" w:type="dxa"/>
          </w:tcPr>
          <w:p w:rsidR="00FA23B2" w:rsidRPr="001C51F3" w:rsidRDefault="00FA23B2" w:rsidP="00DB1BE1">
            <w:pPr>
              <w:rPr>
                <w:rFonts w:ascii="Times New Roman" w:hAnsi="Times New Roman" w:cs="Times New Roman"/>
                <w:sz w:val="20"/>
                <w:szCs w:val="20"/>
              </w:rPr>
            </w:pPr>
            <w:r>
              <w:rPr>
                <w:rFonts w:ascii="Times New Roman" w:hAnsi="Times New Roman" w:cs="Times New Roman"/>
                <w:sz w:val="20"/>
                <w:szCs w:val="20"/>
              </w:rPr>
              <w:t>Pendant toute la durée du projet</w:t>
            </w:r>
          </w:p>
        </w:tc>
        <w:tc>
          <w:tcPr>
            <w:tcW w:w="2487" w:type="dxa"/>
          </w:tcPr>
          <w:p w:rsidR="00FA23B2" w:rsidRPr="001C51F3" w:rsidRDefault="00FA23B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1C51F3">
              <w:rPr>
                <w:rFonts w:eastAsiaTheme="minorEastAsia"/>
                <w:i/>
                <w:sz w:val="20"/>
                <w:szCs w:val="20"/>
                <w:lang w:eastAsia="fr-FR"/>
              </w:rPr>
              <w:t>ST Energie verte</w:t>
            </w:r>
          </w:p>
          <w:p w:rsidR="00FA23B2" w:rsidRPr="001C51F3" w:rsidRDefault="00FA23B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1C51F3">
              <w:rPr>
                <w:rFonts w:eastAsiaTheme="minorEastAsia"/>
                <w:i/>
                <w:sz w:val="20"/>
                <w:szCs w:val="20"/>
                <w:lang w:eastAsia="fr-FR"/>
              </w:rPr>
              <w:t>Chef de la sauvegarde environnementale et sociale</w:t>
            </w:r>
          </w:p>
          <w:p w:rsidR="00FA23B2" w:rsidRPr="001C51F3" w:rsidRDefault="00FA23B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1C51F3">
              <w:rPr>
                <w:rFonts w:eastAsiaTheme="minorEastAsia"/>
                <w:i/>
                <w:sz w:val="20"/>
                <w:szCs w:val="20"/>
                <w:lang w:eastAsia="fr-FR"/>
              </w:rPr>
              <w:t xml:space="preserve">Chargé du suivi-évaluation genre </w:t>
            </w:r>
          </w:p>
          <w:p w:rsidR="00FA23B2" w:rsidRPr="001C51F3" w:rsidRDefault="00FA23B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1C51F3">
              <w:rPr>
                <w:rFonts w:eastAsiaTheme="minorEastAsia"/>
                <w:i/>
                <w:sz w:val="20"/>
                <w:szCs w:val="20"/>
                <w:lang w:eastAsia="fr-FR"/>
              </w:rPr>
              <w:t>Personnel d’appui</w:t>
            </w:r>
          </w:p>
        </w:tc>
        <w:tc>
          <w:tcPr>
            <w:tcW w:w="2049" w:type="dxa"/>
          </w:tcPr>
          <w:p w:rsidR="00FA23B2" w:rsidRPr="001C51F3" w:rsidRDefault="00FA23B2" w:rsidP="00DB1BE1">
            <w:pPr>
              <w:rPr>
                <w:rFonts w:ascii="Times New Roman" w:hAnsi="Times New Roman" w:cs="Times New Roman"/>
                <w:sz w:val="20"/>
                <w:szCs w:val="20"/>
              </w:rPr>
            </w:pPr>
            <w:r w:rsidRPr="001C51F3">
              <w:rPr>
                <w:rFonts w:ascii="Times New Roman" w:hAnsi="Times New Roman" w:cs="Times New Roman"/>
                <w:sz w:val="20"/>
                <w:szCs w:val="20"/>
              </w:rPr>
              <w:t>1.000.000</w:t>
            </w:r>
          </w:p>
        </w:tc>
      </w:tr>
      <w:tr w:rsidR="00FA23B2" w:rsidRPr="001C51F3" w:rsidTr="00DB1BE1">
        <w:tc>
          <w:tcPr>
            <w:tcW w:w="2268" w:type="dxa"/>
            <w:tcBorders>
              <w:right w:val="single" w:sz="4" w:space="0" w:color="auto"/>
            </w:tcBorders>
          </w:tcPr>
          <w:p w:rsidR="00FA23B2" w:rsidRPr="001C51F3" w:rsidRDefault="00FA23B2" w:rsidP="00DB1BE1">
            <w:pPr>
              <w:autoSpaceDE w:val="0"/>
              <w:autoSpaceDN w:val="0"/>
              <w:adjustRightInd w:val="0"/>
              <w:rPr>
                <w:rFonts w:ascii="Times New Roman" w:hAnsi="Times New Roman" w:cs="Times New Roman"/>
                <w:i/>
                <w:sz w:val="20"/>
                <w:szCs w:val="20"/>
              </w:rPr>
            </w:pPr>
            <w:r w:rsidRPr="001C51F3">
              <w:rPr>
                <w:rFonts w:ascii="Times New Roman" w:hAnsi="Times New Roman" w:cs="Times New Roman"/>
                <w:i/>
                <w:sz w:val="20"/>
                <w:szCs w:val="20"/>
              </w:rPr>
              <w:t>3 : Accompagnement des communautés bénéficiaires</w:t>
            </w:r>
          </w:p>
        </w:tc>
        <w:tc>
          <w:tcPr>
            <w:tcW w:w="3402" w:type="dxa"/>
            <w:tcBorders>
              <w:left w:val="single" w:sz="4" w:space="0" w:color="auto"/>
            </w:tcBorders>
          </w:tcPr>
          <w:p w:rsidR="00FA23B2" w:rsidRPr="001C51F3" w:rsidRDefault="00FA23B2" w:rsidP="00DB1BE1">
            <w:pPr>
              <w:pStyle w:val="Paragraphedeliste"/>
              <w:numPr>
                <w:ilvl w:val="0"/>
                <w:numId w:val="2"/>
              </w:numPr>
              <w:autoSpaceDE w:val="0"/>
              <w:autoSpaceDN w:val="0"/>
              <w:adjustRightInd w:val="0"/>
              <w:spacing w:before="0" w:after="0" w:line="240" w:lineRule="auto"/>
              <w:jc w:val="left"/>
              <w:rPr>
                <w:i/>
                <w:sz w:val="20"/>
                <w:szCs w:val="20"/>
              </w:rPr>
            </w:pPr>
            <w:r w:rsidRPr="001C51F3">
              <w:rPr>
                <w:i/>
                <w:sz w:val="20"/>
                <w:szCs w:val="20"/>
              </w:rPr>
              <w:t xml:space="preserve">Mobilisation des communautés </w:t>
            </w:r>
            <w:r w:rsidRPr="001C51F3">
              <w:rPr>
                <w:rFonts w:eastAsiaTheme="minorEastAsia"/>
                <w:i/>
                <w:sz w:val="20"/>
                <w:szCs w:val="20"/>
                <w:lang w:eastAsia="fr-FR"/>
              </w:rPr>
              <w:t>(</w:t>
            </w:r>
            <w:r w:rsidRPr="001C51F3">
              <w:rPr>
                <w:rFonts w:eastAsiaTheme="minorEastAsia"/>
                <w:i/>
                <w:sz w:val="20"/>
                <w:szCs w:val="20"/>
              </w:rPr>
              <w:t xml:space="preserve">La coopérative des femmes du </w:t>
            </w:r>
            <w:r w:rsidRPr="001C51F3">
              <w:rPr>
                <w:i/>
                <w:sz w:val="20"/>
                <w:szCs w:val="20"/>
              </w:rPr>
              <w:t>Village</w:t>
            </w:r>
            <w:r w:rsidRPr="001C51F3">
              <w:rPr>
                <w:rFonts w:eastAsiaTheme="minorEastAsia"/>
                <w:i/>
                <w:sz w:val="20"/>
                <w:szCs w:val="20"/>
              </w:rPr>
              <w:t>, du CVD, de la chefferie, les autres leaders communautaires des 70villages</w:t>
            </w:r>
            <w:r w:rsidRPr="001C51F3">
              <w:rPr>
                <w:rFonts w:eastAsiaTheme="minorEastAsia"/>
                <w:i/>
                <w:sz w:val="20"/>
                <w:szCs w:val="20"/>
                <w:lang w:eastAsia="fr-FR"/>
              </w:rPr>
              <w:t>)</w:t>
            </w:r>
          </w:p>
        </w:tc>
        <w:tc>
          <w:tcPr>
            <w:tcW w:w="2835" w:type="dxa"/>
          </w:tcPr>
          <w:p w:rsidR="00FA23B2" w:rsidRPr="001C51F3" w:rsidRDefault="00FA23B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proofErr w:type="spellStart"/>
            <w:r w:rsidRPr="001C51F3">
              <w:rPr>
                <w:rFonts w:eastAsiaTheme="minorEastAsia"/>
                <w:i/>
                <w:sz w:val="20"/>
                <w:szCs w:val="20"/>
                <w:lang w:eastAsia="fr-FR"/>
              </w:rPr>
              <w:t>Nbre</w:t>
            </w:r>
            <w:proofErr w:type="spellEnd"/>
            <w:r w:rsidRPr="001C51F3">
              <w:rPr>
                <w:rFonts w:eastAsiaTheme="minorEastAsia"/>
                <w:i/>
                <w:sz w:val="20"/>
                <w:szCs w:val="20"/>
                <w:lang w:eastAsia="fr-FR"/>
              </w:rPr>
              <w:t xml:space="preserve"> de femmes et d’hommes associés ou participant à la prise de décisions</w:t>
            </w:r>
          </w:p>
        </w:tc>
        <w:tc>
          <w:tcPr>
            <w:tcW w:w="2552" w:type="dxa"/>
          </w:tcPr>
          <w:p w:rsidR="00FA23B2" w:rsidRPr="001C51F3" w:rsidRDefault="00FA23B2" w:rsidP="00DB1BE1">
            <w:pPr>
              <w:rPr>
                <w:rFonts w:ascii="Times New Roman" w:hAnsi="Times New Roman" w:cs="Times New Roman"/>
                <w:sz w:val="20"/>
                <w:szCs w:val="20"/>
              </w:rPr>
            </w:pPr>
            <w:r>
              <w:rPr>
                <w:rFonts w:ascii="Times New Roman" w:hAnsi="Times New Roman" w:cs="Times New Roman"/>
                <w:sz w:val="20"/>
                <w:szCs w:val="20"/>
              </w:rPr>
              <w:t>Pendant toute la durée du projet</w:t>
            </w:r>
          </w:p>
        </w:tc>
        <w:tc>
          <w:tcPr>
            <w:tcW w:w="2487" w:type="dxa"/>
          </w:tcPr>
          <w:p w:rsidR="00FA23B2" w:rsidRPr="001C51F3" w:rsidRDefault="00FA23B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1C51F3">
              <w:rPr>
                <w:rFonts w:eastAsiaTheme="minorEastAsia"/>
                <w:i/>
                <w:sz w:val="20"/>
                <w:szCs w:val="20"/>
                <w:lang w:eastAsia="fr-FR"/>
              </w:rPr>
              <w:t>ST Energie verte</w:t>
            </w:r>
          </w:p>
          <w:p w:rsidR="00FA23B2" w:rsidRPr="001C51F3" w:rsidRDefault="00FA23B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1C51F3">
              <w:rPr>
                <w:rFonts w:eastAsiaTheme="minorEastAsia"/>
                <w:i/>
                <w:sz w:val="20"/>
                <w:szCs w:val="20"/>
                <w:lang w:eastAsia="fr-FR"/>
              </w:rPr>
              <w:t>Chef de la sauvegarde environnementale et sociale</w:t>
            </w:r>
          </w:p>
          <w:p w:rsidR="00FA23B2" w:rsidRPr="001C51F3" w:rsidRDefault="00FA23B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1C51F3">
              <w:rPr>
                <w:rFonts w:eastAsiaTheme="minorEastAsia"/>
                <w:i/>
                <w:sz w:val="20"/>
                <w:szCs w:val="20"/>
                <w:lang w:eastAsia="fr-FR"/>
              </w:rPr>
              <w:t xml:space="preserve">Chargé du suivi-évaluation genre </w:t>
            </w:r>
          </w:p>
          <w:p w:rsidR="00FA23B2" w:rsidRPr="001C51F3" w:rsidRDefault="00FA23B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1C51F3">
              <w:rPr>
                <w:rFonts w:eastAsiaTheme="minorEastAsia"/>
                <w:i/>
                <w:sz w:val="20"/>
                <w:szCs w:val="20"/>
                <w:lang w:eastAsia="fr-FR"/>
              </w:rPr>
              <w:t>Personnel d’appui</w:t>
            </w:r>
          </w:p>
        </w:tc>
        <w:tc>
          <w:tcPr>
            <w:tcW w:w="2049" w:type="dxa"/>
          </w:tcPr>
          <w:p w:rsidR="00FA23B2" w:rsidRPr="001C51F3" w:rsidRDefault="00FA23B2" w:rsidP="00DB1BE1">
            <w:pPr>
              <w:rPr>
                <w:rFonts w:ascii="Times New Roman" w:hAnsi="Times New Roman" w:cs="Times New Roman"/>
                <w:sz w:val="20"/>
                <w:szCs w:val="20"/>
              </w:rPr>
            </w:pPr>
            <w:r w:rsidRPr="001C51F3">
              <w:rPr>
                <w:rFonts w:ascii="Times New Roman" w:hAnsi="Times New Roman" w:cs="Times New Roman"/>
                <w:sz w:val="20"/>
                <w:szCs w:val="20"/>
              </w:rPr>
              <w:t>1.000.000</w:t>
            </w:r>
          </w:p>
        </w:tc>
      </w:tr>
      <w:tr w:rsidR="00FA23B2" w:rsidRPr="001C51F3" w:rsidTr="00DB1BE1">
        <w:tc>
          <w:tcPr>
            <w:tcW w:w="2268" w:type="dxa"/>
            <w:tcBorders>
              <w:right w:val="single" w:sz="4" w:space="0" w:color="auto"/>
            </w:tcBorders>
          </w:tcPr>
          <w:p w:rsidR="00FA23B2" w:rsidRPr="001C51F3" w:rsidRDefault="00FA23B2" w:rsidP="00DB1BE1">
            <w:pPr>
              <w:autoSpaceDE w:val="0"/>
              <w:autoSpaceDN w:val="0"/>
              <w:adjustRightInd w:val="0"/>
              <w:rPr>
                <w:rFonts w:ascii="Times New Roman" w:hAnsi="Times New Roman" w:cs="Times New Roman"/>
                <w:i/>
                <w:sz w:val="20"/>
                <w:szCs w:val="20"/>
              </w:rPr>
            </w:pPr>
            <w:r w:rsidRPr="001C51F3">
              <w:rPr>
                <w:rFonts w:ascii="Times New Roman" w:hAnsi="Times New Roman" w:cs="Times New Roman"/>
                <w:i/>
                <w:sz w:val="20"/>
                <w:szCs w:val="20"/>
              </w:rPr>
              <w:t xml:space="preserve">4 : Capitalisation et mise à l’échelle </w:t>
            </w:r>
          </w:p>
        </w:tc>
        <w:tc>
          <w:tcPr>
            <w:tcW w:w="3402" w:type="dxa"/>
            <w:tcBorders>
              <w:left w:val="single" w:sz="4" w:space="0" w:color="auto"/>
            </w:tcBorders>
          </w:tcPr>
          <w:p w:rsidR="00FA23B2" w:rsidRPr="001C51F3" w:rsidRDefault="00FA23B2" w:rsidP="00DB1BE1">
            <w:pPr>
              <w:pStyle w:val="Paragraphedeliste"/>
              <w:numPr>
                <w:ilvl w:val="0"/>
                <w:numId w:val="2"/>
              </w:numPr>
              <w:autoSpaceDE w:val="0"/>
              <w:autoSpaceDN w:val="0"/>
              <w:adjustRightInd w:val="0"/>
              <w:spacing w:before="0" w:after="0" w:line="240" w:lineRule="auto"/>
              <w:jc w:val="left"/>
              <w:rPr>
                <w:i/>
                <w:sz w:val="20"/>
                <w:szCs w:val="20"/>
              </w:rPr>
            </w:pPr>
            <w:r w:rsidRPr="001C51F3">
              <w:rPr>
                <w:rFonts w:eastAsiaTheme="minorEastAsia"/>
                <w:i/>
                <w:sz w:val="20"/>
                <w:szCs w:val="20"/>
                <w:lang w:eastAsia="fr-FR"/>
              </w:rPr>
              <w:t>Développement du mécanisme de suivi et évaluation des actions de l’Approche Genre</w:t>
            </w:r>
          </w:p>
        </w:tc>
        <w:tc>
          <w:tcPr>
            <w:tcW w:w="2835" w:type="dxa"/>
          </w:tcPr>
          <w:p w:rsidR="00FA23B2" w:rsidRPr="0045175F" w:rsidRDefault="00FA23B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proofErr w:type="spellStart"/>
            <w:r w:rsidRPr="0045175F">
              <w:rPr>
                <w:rFonts w:eastAsiaTheme="minorEastAsia"/>
                <w:i/>
                <w:sz w:val="20"/>
                <w:szCs w:val="20"/>
                <w:lang w:eastAsia="fr-FR"/>
              </w:rPr>
              <w:t>Nbre</w:t>
            </w:r>
            <w:proofErr w:type="spellEnd"/>
            <w:r w:rsidRPr="0045175F">
              <w:rPr>
                <w:rFonts w:eastAsiaTheme="minorEastAsia"/>
                <w:i/>
                <w:sz w:val="20"/>
                <w:szCs w:val="20"/>
                <w:lang w:eastAsia="fr-FR"/>
              </w:rPr>
              <w:t xml:space="preserve"> d’ateliers de capitalisation faits</w:t>
            </w:r>
          </w:p>
        </w:tc>
        <w:tc>
          <w:tcPr>
            <w:tcW w:w="2552" w:type="dxa"/>
          </w:tcPr>
          <w:p w:rsidR="00FA23B2" w:rsidRPr="001C51F3" w:rsidRDefault="00FA23B2" w:rsidP="00DB1BE1">
            <w:pPr>
              <w:rPr>
                <w:rFonts w:ascii="Times New Roman" w:hAnsi="Times New Roman" w:cs="Times New Roman"/>
                <w:sz w:val="20"/>
                <w:szCs w:val="20"/>
              </w:rPr>
            </w:pPr>
            <w:r>
              <w:rPr>
                <w:rFonts w:ascii="Times New Roman" w:hAnsi="Times New Roman" w:cs="Times New Roman"/>
                <w:sz w:val="20"/>
                <w:szCs w:val="20"/>
              </w:rPr>
              <w:t>A la revue à mi-parcours et en fin de projet</w:t>
            </w:r>
          </w:p>
        </w:tc>
        <w:tc>
          <w:tcPr>
            <w:tcW w:w="2487" w:type="dxa"/>
          </w:tcPr>
          <w:p w:rsidR="00FA23B2" w:rsidRPr="001C51F3" w:rsidRDefault="00FA23B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1C51F3">
              <w:rPr>
                <w:rFonts w:eastAsiaTheme="minorEastAsia"/>
                <w:i/>
                <w:sz w:val="20"/>
                <w:szCs w:val="20"/>
                <w:lang w:eastAsia="fr-FR"/>
              </w:rPr>
              <w:t>ST Energie verte</w:t>
            </w:r>
          </w:p>
          <w:p w:rsidR="00FA23B2" w:rsidRPr="001C51F3" w:rsidRDefault="00FA23B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1C51F3">
              <w:rPr>
                <w:rFonts w:eastAsiaTheme="minorEastAsia"/>
                <w:i/>
                <w:sz w:val="20"/>
                <w:szCs w:val="20"/>
                <w:lang w:eastAsia="fr-FR"/>
              </w:rPr>
              <w:t>Chef de la sauvegarde environnementale et sociale</w:t>
            </w:r>
          </w:p>
          <w:p w:rsidR="00FA23B2" w:rsidRPr="001C51F3" w:rsidRDefault="00FA23B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1C51F3">
              <w:rPr>
                <w:rFonts w:eastAsiaTheme="minorEastAsia"/>
                <w:i/>
                <w:sz w:val="20"/>
                <w:szCs w:val="20"/>
                <w:lang w:eastAsia="fr-FR"/>
              </w:rPr>
              <w:t xml:space="preserve">Chargé du suivi-évaluation genre </w:t>
            </w:r>
          </w:p>
          <w:p w:rsidR="00FA23B2" w:rsidRPr="001C51F3" w:rsidRDefault="00FA23B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1C51F3">
              <w:rPr>
                <w:rFonts w:eastAsiaTheme="minorEastAsia"/>
                <w:i/>
                <w:sz w:val="20"/>
                <w:szCs w:val="20"/>
                <w:lang w:eastAsia="fr-FR"/>
              </w:rPr>
              <w:t>Personnel d’appui</w:t>
            </w:r>
          </w:p>
        </w:tc>
        <w:tc>
          <w:tcPr>
            <w:tcW w:w="2049" w:type="dxa"/>
          </w:tcPr>
          <w:p w:rsidR="00FA23B2" w:rsidRPr="001C51F3" w:rsidRDefault="00FA23B2" w:rsidP="00DB1BE1">
            <w:pPr>
              <w:rPr>
                <w:rFonts w:ascii="Times New Roman" w:hAnsi="Times New Roman" w:cs="Times New Roman"/>
                <w:sz w:val="20"/>
                <w:szCs w:val="20"/>
              </w:rPr>
            </w:pPr>
            <w:r w:rsidRPr="001C51F3">
              <w:rPr>
                <w:rFonts w:ascii="Times New Roman" w:hAnsi="Times New Roman" w:cs="Times New Roman"/>
                <w:sz w:val="20"/>
                <w:szCs w:val="20"/>
              </w:rPr>
              <w:t>500.000</w:t>
            </w:r>
          </w:p>
        </w:tc>
      </w:tr>
      <w:tr w:rsidR="00FA23B2" w:rsidRPr="001C51F3" w:rsidTr="00DB1BE1">
        <w:trPr>
          <w:trHeight w:val="283"/>
        </w:trPr>
        <w:tc>
          <w:tcPr>
            <w:tcW w:w="13544" w:type="dxa"/>
            <w:gridSpan w:val="5"/>
          </w:tcPr>
          <w:p w:rsidR="00FA23B2" w:rsidRPr="001C51F3" w:rsidRDefault="00FA23B2" w:rsidP="00DB1BE1">
            <w:pPr>
              <w:pStyle w:val="Paragraphedeliste"/>
              <w:numPr>
                <w:ilvl w:val="0"/>
                <w:numId w:val="2"/>
              </w:numPr>
              <w:autoSpaceDE w:val="0"/>
              <w:autoSpaceDN w:val="0"/>
              <w:adjustRightInd w:val="0"/>
              <w:spacing w:before="0" w:after="0" w:line="240" w:lineRule="auto"/>
              <w:jc w:val="left"/>
              <w:rPr>
                <w:rFonts w:eastAsiaTheme="minorEastAsia"/>
                <w:b/>
                <w:i/>
                <w:sz w:val="20"/>
                <w:szCs w:val="20"/>
                <w:lang w:eastAsia="fr-FR"/>
              </w:rPr>
            </w:pPr>
            <w:r w:rsidRPr="001C51F3">
              <w:rPr>
                <w:rFonts w:eastAsiaTheme="minorEastAsia"/>
                <w:b/>
                <w:i/>
                <w:sz w:val="20"/>
                <w:szCs w:val="20"/>
                <w:lang w:eastAsia="fr-FR"/>
              </w:rPr>
              <w:t xml:space="preserve">TOTAL GLOBAL </w:t>
            </w:r>
          </w:p>
        </w:tc>
        <w:tc>
          <w:tcPr>
            <w:tcW w:w="2049" w:type="dxa"/>
          </w:tcPr>
          <w:p w:rsidR="00FA23B2" w:rsidRPr="001C51F3" w:rsidRDefault="00FA23B2" w:rsidP="00DB1BE1">
            <w:pPr>
              <w:rPr>
                <w:rFonts w:ascii="Times New Roman" w:hAnsi="Times New Roman" w:cs="Times New Roman"/>
                <w:sz w:val="20"/>
                <w:szCs w:val="20"/>
              </w:rPr>
            </w:pPr>
            <w:r w:rsidRPr="001C51F3">
              <w:rPr>
                <w:rFonts w:ascii="Times New Roman" w:hAnsi="Times New Roman" w:cs="Times New Roman"/>
                <w:sz w:val="20"/>
                <w:szCs w:val="20"/>
              </w:rPr>
              <w:t>3.500.000</w:t>
            </w:r>
          </w:p>
        </w:tc>
      </w:tr>
      <w:tr w:rsidR="00FA23B2" w:rsidRPr="001C51F3" w:rsidTr="00DB1BE1">
        <w:tc>
          <w:tcPr>
            <w:tcW w:w="13544" w:type="dxa"/>
            <w:gridSpan w:val="5"/>
            <w:shd w:val="clear" w:color="auto" w:fill="FFF2CC" w:themeFill="accent4" w:themeFillTint="33"/>
          </w:tcPr>
          <w:p w:rsidR="00FA23B2" w:rsidRPr="001C51F3" w:rsidRDefault="00FA23B2" w:rsidP="00DB1BE1">
            <w:pPr>
              <w:pStyle w:val="Paragraphedeliste"/>
              <w:autoSpaceDE w:val="0"/>
              <w:autoSpaceDN w:val="0"/>
              <w:adjustRightInd w:val="0"/>
              <w:spacing w:before="0" w:after="0" w:line="240" w:lineRule="auto"/>
              <w:ind w:left="360"/>
              <w:jc w:val="left"/>
              <w:rPr>
                <w:rFonts w:eastAsiaTheme="minorEastAsia"/>
                <w:b/>
                <w:i/>
                <w:sz w:val="20"/>
                <w:szCs w:val="20"/>
                <w:lang w:eastAsia="fr-FR"/>
              </w:rPr>
            </w:pPr>
            <w:r w:rsidRPr="001C51F3">
              <w:rPr>
                <w:rFonts w:eastAsiaTheme="minorEastAsia"/>
                <w:b/>
                <w:i/>
                <w:sz w:val="20"/>
                <w:szCs w:val="20"/>
                <w:lang w:eastAsia="fr-FR"/>
              </w:rPr>
              <w:t>Arrêté le présent plan au montant de trois millions cinq cent mille (</w:t>
            </w:r>
            <w:r w:rsidRPr="001C51F3">
              <w:rPr>
                <w:sz w:val="20"/>
                <w:szCs w:val="20"/>
              </w:rPr>
              <w:t>3.500.000</w:t>
            </w:r>
            <w:r w:rsidRPr="001C51F3">
              <w:rPr>
                <w:rFonts w:eastAsiaTheme="minorEastAsia"/>
                <w:b/>
                <w:i/>
                <w:sz w:val="20"/>
                <w:szCs w:val="20"/>
                <w:lang w:eastAsia="fr-FR"/>
              </w:rPr>
              <w:t>) Dollar US</w:t>
            </w:r>
          </w:p>
        </w:tc>
        <w:tc>
          <w:tcPr>
            <w:tcW w:w="2049" w:type="dxa"/>
            <w:shd w:val="clear" w:color="auto" w:fill="FFF2CC" w:themeFill="accent4" w:themeFillTint="33"/>
          </w:tcPr>
          <w:p w:rsidR="00FA23B2" w:rsidRPr="001C51F3" w:rsidRDefault="00FA23B2" w:rsidP="00DB1BE1">
            <w:pPr>
              <w:rPr>
                <w:rFonts w:ascii="Times New Roman" w:hAnsi="Times New Roman" w:cs="Times New Roman"/>
                <w:sz w:val="20"/>
                <w:szCs w:val="20"/>
              </w:rPr>
            </w:pPr>
          </w:p>
        </w:tc>
      </w:tr>
    </w:tbl>
    <w:p w:rsidR="00FA23B2" w:rsidRDefault="00FA23B2">
      <w:pPr>
        <w:sectPr w:rsidR="00FA23B2" w:rsidSect="004605D3">
          <w:pgSz w:w="16838" w:h="11906" w:orient="landscape"/>
          <w:pgMar w:top="1418" w:right="1418" w:bottom="1418" w:left="1418" w:header="709" w:footer="709" w:gutter="0"/>
          <w:cols w:space="708"/>
          <w:docGrid w:linePitch="360"/>
        </w:sectPr>
      </w:pPr>
    </w:p>
    <w:p w:rsidR="001A6E66" w:rsidRDefault="001A6E66" w:rsidP="00FA23B2">
      <w:pPr>
        <w:rPr>
          <w:rFonts w:ascii="Times New Roman" w:hAnsi="Times New Roman" w:cs="Times New Roman"/>
          <w:b/>
        </w:rPr>
      </w:pPr>
    </w:p>
    <w:p w:rsidR="002264B9" w:rsidRPr="00FA23B2" w:rsidRDefault="001A6E66" w:rsidP="00FA23B2">
      <w:pPr>
        <w:pStyle w:val="Titre1"/>
      </w:pPr>
      <w:bookmarkStart w:id="28" w:name="_Toc517278988"/>
      <w:r w:rsidRPr="00FA23B2">
        <w:t>CONCLUSION</w:t>
      </w:r>
      <w:bookmarkEnd w:id="28"/>
      <w:r w:rsidR="00FA23B2">
        <w:t> </w:t>
      </w:r>
    </w:p>
    <w:p w:rsidR="00016F64" w:rsidRPr="00FA23B2" w:rsidRDefault="00016F64" w:rsidP="00FA23B2">
      <w:pPr>
        <w:spacing w:after="0" w:line="360" w:lineRule="auto"/>
        <w:jc w:val="both"/>
        <w:rPr>
          <w:rFonts w:ascii="Times New Roman" w:hAnsi="Times New Roman" w:cs="Times New Roman"/>
          <w:sz w:val="24"/>
          <w:szCs w:val="24"/>
        </w:rPr>
      </w:pPr>
      <w:r w:rsidRPr="00FA23B2">
        <w:rPr>
          <w:rFonts w:ascii="Times New Roman" w:hAnsi="Times New Roman" w:cs="Times New Roman"/>
          <w:sz w:val="24"/>
          <w:szCs w:val="24"/>
        </w:rPr>
        <w:t>De tout ce qui précède, il est indéniable que la prise en compte des questions de genre dans tout processus de développement constitue une réponse du Mali tant aux politiques publiques qu’aux engagements internationaux dans un contexte de mondialisation, voire même une exigence démocratique.</w:t>
      </w:r>
    </w:p>
    <w:sectPr w:rsidR="00016F64" w:rsidRPr="00FA23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745" w:rsidRDefault="00B10745" w:rsidP="00D75439">
      <w:pPr>
        <w:spacing w:after="0" w:line="240" w:lineRule="auto"/>
      </w:pPr>
      <w:r>
        <w:separator/>
      </w:r>
    </w:p>
  </w:endnote>
  <w:endnote w:type="continuationSeparator" w:id="0">
    <w:p w:rsidR="00B10745" w:rsidRDefault="00B10745" w:rsidP="00D75439">
      <w:pPr>
        <w:spacing w:after="0" w:line="240" w:lineRule="auto"/>
      </w:pPr>
      <w:r>
        <w:continuationSeparator/>
      </w:r>
    </w:p>
  </w:endnote>
  <w:endnote w:id="1">
    <w:p w:rsidR="00D75439" w:rsidRPr="004605D3" w:rsidRDefault="00D75439" w:rsidP="004605D3">
      <w:pPr>
        <w:autoSpaceDE w:val="0"/>
        <w:autoSpaceDN w:val="0"/>
        <w:adjustRightInd w:val="0"/>
        <w:rPr>
          <w:rFonts w:ascii="Times New Roman" w:hAnsi="Times New Roman" w:cs="Times New Roman"/>
          <w:i/>
          <w:sz w:val="20"/>
          <w:szCs w:val="20"/>
        </w:rPr>
      </w:pPr>
    </w:p>
    <w:p w:rsidR="00D75439" w:rsidRPr="005657A7" w:rsidRDefault="00D75439" w:rsidP="00D75439">
      <w:pPr>
        <w:pStyle w:val="Paragraphedeliste"/>
        <w:widowControl w:val="0"/>
        <w:autoSpaceDE w:val="0"/>
        <w:autoSpaceDN w:val="0"/>
        <w:adjustRightInd w:val="0"/>
        <w:rPr>
          <w:rFonts w:ascii="Verdana" w:hAnsi="Verdana" w:cs="ArialMT"/>
          <w:b/>
          <w:sz w:val="28"/>
          <w:szCs w:val="28"/>
          <w:lang w:val="fr-CA"/>
        </w:rPr>
      </w:pPr>
    </w:p>
  </w:endnote>
  <w:endnote w:id="2">
    <w:p w:rsidR="00FA23B2" w:rsidRPr="004605D3" w:rsidRDefault="00FA23B2" w:rsidP="00FA23B2">
      <w:pPr>
        <w:widowControl w:val="0"/>
        <w:autoSpaceDE w:val="0"/>
        <w:autoSpaceDN w:val="0"/>
        <w:adjustRightInd w:val="0"/>
        <w:rPr>
          <w:rFonts w:ascii="Frutiger 55" w:hAnsi="Frutiger 55" w:cs="ArialMT"/>
          <w:sz w:val="14"/>
          <w:szCs w:val="14"/>
        </w:rPr>
      </w:pPr>
    </w:p>
    <w:p w:rsidR="00FA23B2" w:rsidRPr="0038305F" w:rsidRDefault="00FA23B2" w:rsidP="00FA23B2">
      <w:pPr>
        <w:widowControl w:val="0"/>
        <w:autoSpaceDE w:val="0"/>
        <w:autoSpaceDN w:val="0"/>
        <w:adjustRightInd w:val="0"/>
        <w:spacing w:after="0" w:line="240" w:lineRule="auto"/>
        <w:rPr>
          <w:rFonts w:ascii="Calibri Light" w:hAnsi="Calibri Light" w:cs="Calibri"/>
          <w:color w:val="000000"/>
        </w:rPr>
      </w:pPr>
    </w:p>
    <w:p w:rsidR="00FA23B2" w:rsidRPr="005657A7" w:rsidRDefault="00FA23B2" w:rsidP="00FA23B2">
      <w:pPr>
        <w:pStyle w:val="Paragraphedeliste"/>
        <w:widowControl w:val="0"/>
        <w:spacing w:after="0" w:line="240" w:lineRule="auto"/>
        <w:rPr>
          <w:rFonts w:ascii="Calibri Light" w:hAnsi="Calibri Light"/>
          <w:lang w:val="fr-CA"/>
        </w:rPr>
      </w:pPr>
    </w:p>
    <w:p w:rsidR="00FA23B2" w:rsidRPr="005657A7" w:rsidRDefault="00FA23B2" w:rsidP="00FA23B2">
      <w:pPr>
        <w:pStyle w:val="Paragraphedeliste"/>
        <w:rPr>
          <w:rFonts w:ascii="Verdana" w:hAnsi="Verdana" w:cs="ArialMT"/>
          <w:b/>
          <w:sz w:val="28"/>
          <w:szCs w:val="28"/>
          <w:lang w:val="fr-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utiger 55">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755679"/>
      <w:docPartObj>
        <w:docPartGallery w:val="Page Numbers (Bottom of Page)"/>
        <w:docPartUnique/>
      </w:docPartObj>
    </w:sdtPr>
    <w:sdtEndPr/>
    <w:sdtContent>
      <w:p w:rsidR="002D5316" w:rsidRDefault="002D5316">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 name="Carré corn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2D5316" w:rsidRDefault="002D5316">
                              <w:pPr>
                                <w:jc w:val="center"/>
                              </w:pPr>
                              <w:r>
                                <w:fldChar w:fldCharType="begin"/>
                              </w:r>
                              <w:r>
                                <w:instrText>PAGE    \* MERGEFORMAT</w:instrText>
                              </w:r>
                              <w:r>
                                <w:fldChar w:fldCharType="separate"/>
                              </w:r>
                              <w:r w:rsidR="00A4031A" w:rsidRPr="00A4031A">
                                <w:rPr>
                                  <w:noProof/>
                                  <w:sz w:val="16"/>
                                  <w:szCs w:val="16"/>
                                </w:rPr>
                                <w:t>0</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5"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uX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KZ&#10;ExVJtBKIP56ZBHT0M2k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KBd7lz0CAABxBAAADgAAAAAAAAAA&#10;AAAAAAAuAgAAZHJzL2Uyb0RvYy54bWxQSwECLQAUAAYACAAAACEAdbyVRtkAAAADAQAADwAAAAAA&#10;AAAAAAAAAACXBAAAZHJzL2Rvd25yZXYueG1sUEsFBgAAAAAEAAQA8wAAAJ0FAAAAAA==&#10;" o:allowincell="f" adj="14135" strokecolor="gray" strokeweight=".25pt">
                  <v:textbox>
                    <w:txbxContent>
                      <w:p w:rsidR="002D5316" w:rsidRDefault="002D5316">
                        <w:pPr>
                          <w:jc w:val="center"/>
                        </w:pPr>
                        <w:r>
                          <w:fldChar w:fldCharType="begin"/>
                        </w:r>
                        <w:r>
                          <w:instrText>PAGE    \* MERGEFORMAT</w:instrText>
                        </w:r>
                        <w:r>
                          <w:fldChar w:fldCharType="separate"/>
                        </w:r>
                        <w:r w:rsidR="00A4031A" w:rsidRPr="00A4031A">
                          <w:rPr>
                            <w:noProof/>
                            <w:sz w:val="16"/>
                            <w:szCs w:val="16"/>
                          </w:rPr>
                          <w:t>0</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745" w:rsidRDefault="00B10745" w:rsidP="00D75439">
      <w:pPr>
        <w:spacing w:after="0" w:line="240" w:lineRule="auto"/>
      </w:pPr>
      <w:r>
        <w:separator/>
      </w:r>
    </w:p>
  </w:footnote>
  <w:footnote w:type="continuationSeparator" w:id="0">
    <w:p w:rsidR="00B10745" w:rsidRDefault="00B10745" w:rsidP="00D75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1C4"/>
    <w:multiLevelType w:val="hybridMultilevel"/>
    <w:tmpl w:val="E92E14DC"/>
    <w:lvl w:ilvl="0" w:tplc="5922FEC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B1A12EB"/>
    <w:multiLevelType w:val="hybridMultilevel"/>
    <w:tmpl w:val="A41C745C"/>
    <w:lvl w:ilvl="0" w:tplc="B420B9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7B000A"/>
    <w:multiLevelType w:val="hybridMultilevel"/>
    <w:tmpl w:val="3D74E2D0"/>
    <w:lvl w:ilvl="0" w:tplc="040C0001">
      <w:start w:val="1"/>
      <w:numFmt w:val="bullet"/>
      <w:lvlText w:val=""/>
      <w:lvlJc w:val="left"/>
      <w:pPr>
        <w:ind w:left="1648" w:hanging="360"/>
      </w:pPr>
      <w:rPr>
        <w:rFonts w:ascii="Symbol" w:hAnsi="Symbol" w:hint="default"/>
      </w:rPr>
    </w:lvl>
    <w:lvl w:ilvl="1" w:tplc="040C0003" w:tentative="1">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3">
    <w:nsid w:val="21DE7F5F"/>
    <w:multiLevelType w:val="hybridMultilevel"/>
    <w:tmpl w:val="6EAE6AF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2BC3885"/>
    <w:multiLevelType w:val="hybridMultilevel"/>
    <w:tmpl w:val="E2206406"/>
    <w:lvl w:ilvl="0" w:tplc="A1302030">
      <w:start w:val="1"/>
      <w:numFmt w:val="decimal"/>
      <w:lvlText w:val="%1."/>
      <w:lvlJc w:val="left"/>
      <w:pPr>
        <w:ind w:left="928" w:hanging="360"/>
      </w:pPr>
      <w:rPr>
        <w:rFonts w:ascii="Trebuchet MS" w:hAnsi="Trebuchet MS" w:hint="default"/>
        <w:b/>
        <w:sz w:val="21"/>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60015D"/>
    <w:multiLevelType w:val="hybridMultilevel"/>
    <w:tmpl w:val="07FA3AF0"/>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8D64F1A"/>
    <w:multiLevelType w:val="hybridMultilevel"/>
    <w:tmpl w:val="E098C0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B5C2E30"/>
    <w:multiLevelType w:val="hybridMultilevel"/>
    <w:tmpl w:val="5F9E9FE6"/>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nsid w:val="35443427"/>
    <w:multiLevelType w:val="multilevel"/>
    <w:tmpl w:val="22D8358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6673FF6"/>
    <w:multiLevelType w:val="hybridMultilevel"/>
    <w:tmpl w:val="1AA803A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75576D7"/>
    <w:multiLevelType w:val="hybridMultilevel"/>
    <w:tmpl w:val="C6068A60"/>
    <w:lvl w:ilvl="0" w:tplc="0407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B326CA"/>
    <w:multiLevelType w:val="hybridMultilevel"/>
    <w:tmpl w:val="8D5A1E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DDA1451"/>
    <w:multiLevelType w:val="hybridMultilevel"/>
    <w:tmpl w:val="AA563C56"/>
    <w:lvl w:ilvl="0" w:tplc="0407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2991D2F"/>
    <w:multiLevelType w:val="hybridMultilevel"/>
    <w:tmpl w:val="8A0800F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66261C7"/>
    <w:multiLevelType w:val="hybridMultilevel"/>
    <w:tmpl w:val="C298FD1E"/>
    <w:lvl w:ilvl="0" w:tplc="25AA2D88">
      <w:start w:val="1"/>
      <w:numFmt w:val="decimal"/>
      <w:lvlText w:val="%1."/>
      <w:lvlJc w:val="left"/>
      <w:pPr>
        <w:ind w:left="928" w:hanging="360"/>
      </w:pPr>
      <w:rPr>
        <w:rFonts w:ascii="Trebuchet MS" w:eastAsia="Calibri" w:hAnsi="Trebuchet MS" w:cs="Times New Roman"/>
        <w:b/>
        <w:sz w:val="16"/>
        <w:szCs w:val="16"/>
      </w:rPr>
    </w:lvl>
    <w:lvl w:ilvl="1" w:tplc="040C0019" w:tentative="1">
      <w:start w:val="1"/>
      <w:numFmt w:val="lowerLetter"/>
      <w:lvlText w:val="%2."/>
      <w:lvlJc w:val="left"/>
      <w:pPr>
        <w:ind w:left="1913" w:hanging="360"/>
      </w:pPr>
    </w:lvl>
    <w:lvl w:ilvl="2" w:tplc="040C001B" w:tentative="1">
      <w:start w:val="1"/>
      <w:numFmt w:val="lowerRoman"/>
      <w:lvlText w:val="%3."/>
      <w:lvlJc w:val="right"/>
      <w:pPr>
        <w:ind w:left="2633" w:hanging="180"/>
      </w:pPr>
    </w:lvl>
    <w:lvl w:ilvl="3" w:tplc="040C000F" w:tentative="1">
      <w:start w:val="1"/>
      <w:numFmt w:val="decimal"/>
      <w:lvlText w:val="%4."/>
      <w:lvlJc w:val="left"/>
      <w:pPr>
        <w:ind w:left="3353" w:hanging="360"/>
      </w:pPr>
    </w:lvl>
    <w:lvl w:ilvl="4" w:tplc="040C0019" w:tentative="1">
      <w:start w:val="1"/>
      <w:numFmt w:val="lowerLetter"/>
      <w:lvlText w:val="%5."/>
      <w:lvlJc w:val="left"/>
      <w:pPr>
        <w:ind w:left="4073" w:hanging="360"/>
      </w:pPr>
    </w:lvl>
    <w:lvl w:ilvl="5" w:tplc="040C001B" w:tentative="1">
      <w:start w:val="1"/>
      <w:numFmt w:val="lowerRoman"/>
      <w:lvlText w:val="%6."/>
      <w:lvlJc w:val="right"/>
      <w:pPr>
        <w:ind w:left="4793" w:hanging="180"/>
      </w:pPr>
    </w:lvl>
    <w:lvl w:ilvl="6" w:tplc="040C000F" w:tentative="1">
      <w:start w:val="1"/>
      <w:numFmt w:val="decimal"/>
      <w:lvlText w:val="%7."/>
      <w:lvlJc w:val="left"/>
      <w:pPr>
        <w:ind w:left="5513" w:hanging="360"/>
      </w:pPr>
    </w:lvl>
    <w:lvl w:ilvl="7" w:tplc="040C0019" w:tentative="1">
      <w:start w:val="1"/>
      <w:numFmt w:val="lowerLetter"/>
      <w:lvlText w:val="%8."/>
      <w:lvlJc w:val="left"/>
      <w:pPr>
        <w:ind w:left="6233" w:hanging="360"/>
      </w:pPr>
    </w:lvl>
    <w:lvl w:ilvl="8" w:tplc="040C001B" w:tentative="1">
      <w:start w:val="1"/>
      <w:numFmt w:val="lowerRoman"/>
      <w:lvlText w:val="%9."/>
      <w:lvlJc w:val="right"/>
      <w:pPr>
        <w:ind w:left="6953" w:hanging="180"/>
      </w:pPr>
    </w:lvl>
  </w:abstractNum>
  <w:abstractNum w:abstractNumId="15">
    <w:nsid w:val="4798537A"/>
    <w:multiLevelType w:val="hybridMultilevel"/>
    <w:tmpl w:val="5E5E985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D8B0665"/>
    <w:multiLevelType w:val="hybridMultilevel"/>
    <w:tmpl w:val="CA5A6F16"/>
    <w:lvl w:ilvl="0" w:tplc="F6E42A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E9202B3"/>
    <w:multiLevelType w:val="multilevel"/>
    <w:tmpl w:val="14A8D932"/>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3967016"/>
    <w:multiLevelType w:val="hybridMultilevel"/>
    <w:tmpl w:val="7C08A320"/>
    <w:lvl w:ilvl="0" w:tplc="040C0001">
      <w:start w:val="1"/>
      <w:numFmt w:val="bullet"/>
      <w:lvlText w:val=""/>
      <w:lvlJc w:val="left"/>
      <w:pPr>
        <w:ind w:left="1080" w:hanging="72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4242492"/>
    <w:multiLevelType w:val="hybridMultilevel"/>
    <w:tmpl w:val="67583A60"/>
    <w:lvl w:ilvl="0" w:tplc="308CEEB6">
      <w:start w:val="3"/>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5BB70FD"/>
    <w:multiLevelType w:val="hybridMultilevel"/>
    <w:tmpl w:val="F9CE1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6BB5DAE"/>
    <w:multiLevelType w:val="hybridMultilevel"/>
    <w:tmpl w:val="8E5AAA4A"/>
    <w:lvl w:ilvl="0" w:tplc="6A5E19C2">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D052281"/>
    <w:multiLevelType w:val="hybridMultilevel"/>
    <w:tmpl w:val="C3761DC4"/>
    <w:lvl w:ilvl="0" w:tplc="DFE88996">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D076F1A"/>
    <w:multiLevelType w:val="hybridMultilevel"/>
    <w:tmpl w:val="F6E2D438"/>
    <w:lvl w:ilvl="0" w:tplc="78A25B3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0302F2E"/>
    <w:multiLevelType w:val="hybridMultilevel"/>
    <w:tmpl w:val="B1E2AF16"/>
    <w:lvl w:ilvl="0" w:tplc="62804912">
      <w:start w:val="3"/>
      <w:numFmt w:val="bullet"/>
      <w:lvlText w:val="-"/>
      <w:lvlJc w:val="left"/>
      <w:pPr>
        <w:ind w:left="720" w:hanging="360"/>
      </w:pPr>
      <w:rPr>
        <w:rFonts w:ascii="Frutiger 55" w:eastAsia="Calibri" w:hAnsi="Frutiger 55"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6BE38F5"/>
    <w:multiLevelType w:val="hybridMultilevel"/>
    <w:tmpl w:val="3D6A9C96"/>
    <w:lvl w:ilvl="0" w:tplc="73DC41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10"/>
  </w:num>
  <w:num w:numId="3">
    <w:abstractNumId w:val="14"/>
  </w:num>
  <w:num w:numId="4">
    <w:abstractNumId w:val="4"/>
  </w:num>
  <w:num w:numId="5">
    <w:abstractNumId w:val="16"/>
  </w:num>
  <w:num w:numId="6">
    <w:abstractNumId w:val="12"/>
  </w:num>
  <w:num w:numId="7">
    <w:abstractNumId w:val="5"/>
  </w:num>
  <w:num w:numId="8">
    <w:abstractNumId w:val="8"/>
  </w:num>
  <w:num w:numId="9">
    <w:abstractNumId w:val="11"/>
  </w:num>
  <w:num w:numId="10">
    <w:abstractNumId w:val="23"/>
  </w:num>
  <w:num w:numId="11">
    <w:abstractNumId w:val="21"/>
  </w:num>
  <w:num w:numId="12">
    <w:abstractNumId w:val="18"/>
  </w:num>
  <w:num w:numId="13">
    <w:abstractNumId w:val="6"/>
  </w:num>
  <w:num w:numId="14">
    <w:abstractNumId w:val="19"/>
  </w:num>
  <w:num w:numId="15">
    <w:abstractNumId w:val="22"/>
  </w:num>
  <w:num w:numId="16">
    <w:abstractNumId w:val="0"/>
  </w:num>
  <w:num w:numId="17">
    <w:abstractNumId w:val="20"/>
  </w:num>
  <w:num w:numId="18">
    <w:abstractNumId w:val="1"/>
  </w:num>
  <w:num w:numId="19">
    <w:abstractNumId w:val="13"/>
  </w:num>
  <w:num w:numId="20">
    <w:abstractNumId w:val="25"/>
  </w:num>
  <w:num w:numId="21">
    <w:abstractNumId w:val="17"/>
  </w:num>
  <w:num w:numId="22">
    <w:abstractNumId w:val="3"/>
  </w:num>
  <w:num w:numId="23">
    <w:abstractNumId w:val="7"/>
  </w:num>
  <w:num w:numId="24">
    <w:abstractNumId w:val="9"/>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D9"/>
    <w:rsid w:val="00016F64"/>
    <w:rsid w:val="000A5A32"/>
    <w:rsid w:val="000B27BC"/>
    <w:rsid w:val="001477F6"/>
    <w:rsid w:val="001A6E66"/>
    <w:rsid w:val="001C51F3"/>
    <w:rsid w:val="001D08AE"/>
    <w:rsid w:val="002264B9"/>
    <w:rsid w:val="00281278"/>
    <w:rsid w:val="002D4F7B"/>
    <w:rsid w:val="002D5316"/>
    <w:rsid w:val="00315530"/>
    <w:rsid w:val="0045175F"/>
    <w:rsid w:val="00452A95"/>
    <w:rsid w:val="004605D3"/>
    <w:rsid w:val="00496B04"/>
    <w:rsid w:val="0056337E"/>
    <w:rsid w:val="00752A68"/>
    <w:rsid w:val="007C4220"/>
    <w:rsid w:val="008652AE"/>
    <w:rsid w:val="00936643"/>
    <w:rsid w:val="009F7DC2"/>
    <w:rsid w:val="00A4031A"/>
    <w:rsid w:val="00A84A18"/>
    <w:rsid w:val="00AB7604"/>
    <w:rsid w:val="00AC7307"/>
    <w:rsid w:val="00AC7422"/>
    <w:rsid w:val="00B00619"/>
    <w:rsid w:val="00B10745"/>
    <w:rsid w:val="00BE31D9"/>
    <w:rsid w:val="00CB0163"/>
    <w:rsid w:val="00CF5BAF"/>
    <w:rsid w:val="00D17A1C"/>
    <w:rsid w:val="00D75439"/>
    <w:rsid w:val="00E14122"/>
    <w:rsid w:val="00F95CAF"/>
    <w:rsid w:val="00FA23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439"/>
    <w:pPr>
      <w:spacing w:after="200" w:line="276" w:lineRule="auto"/>
    </w:pPr>
    <w:rPr>
      <w:rFonts w:eastAsiaTheme="minorEastAsia"/>
      <w:lang w:eastAsia="fr-FR"/>
    </w:rPr>
  </w:style>
  <w:style w:type="paragraph" w:styleId="Titre1">
    <w:name w:val="heading 1"/>
    <w:basedOn w:val="Normal"/>
    <w:next w:val="Normal"/>
    <w:link w:val="Titre1Car"/>
    <w:uiPriority w:val="9"/>
    <w:qFormat/>
    <w:rsid w:val="00D75439"/>
    <w:pPr>
      <w:keepNext/>
      <w:spacing w:before="240" w:after="60"/>
      <w:jc w:val="center"/>
      <w:outlineLvl w:val="0"/>
    </w:pPr>
    <w:rPr>
      <w:rFonts w:ascii="Cambria" w:eastAsia="Times New Roman" w:hAnsi="Cambria" w:cs="Times New Roman"/>
      <w:b/>
      <w:bCs/>
      <w:kern w:val="32"/>
      <w:sz w:val="36"/>
      <w:szCs w:val="36"/>
      <w:lang w:eastAsia="en-US"/>
    </w:rPr>
  </w:style>
  <w:style w:type="paragraph" w:styleId="Titre2">
    <w:name w:val="heading 2"/>
    <w:basedOn w:val="Normal"/>
    <w:next w:val="Normal"/>
    <w:link w:val="Titre2Car"/>
    <w:uiPriority w:val="9"/>
    <w:unhideWhenUsed/>
    <w:qFormat/>
    <w:rsid w:val="00D75439"/>
    <w:pPr>
      <w:keepNext/>
      <w:spacing w:before="240" w:after="60" w:line="240" w:lineRule="auto"/>
      <w:outlineLvl w:val="1"/>
    </w:pPr>
    <w:rPr>
      <w:rFonts w:ascii="Calibri Light" w:eastAsia="Times New Roman" w:hAnsi="Calibri Light" w:cs="Times New Roman"/>
      <w:b/>
      <w:bCs/>
      <w:i/>
      <w:iCs/>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5439"/>
    <w:rPr>
      <w:rFonts w:ascii="Cambria" w:eastAsia="Times New Roman" w:hAnsi="Cambria" w:cs="Times New Roman"/>
      <w:b/>
      <w:bCs/>
      <w:kern w:val="32"/>
      <w:sz w:val="36"/>
      <w:szCs w:val="36"/>
    </w:rPr>
  </w:style>
  <w:style w:type="character" w:customStyle="1" w:styleId="Titre2Car">
    <w:name w:val="Titre 2 Car"/>
    <w:basedOn w:val="Policepardfaut"/>
    <w:link w:val="Titre2"/>
    <w:uiPriority w:val="9"/>
    <w:rsid w:val="00D75439"/>
    <w:rPr>
      <w:rFonts w:ascii="Calibri Light" w:eastAsia="Times New Roman" w:hAnsi="Calibri Light" w:cs="Times New Roman"/>
      <w:b/>
      <w:bCs/>
      <w:i/>
      <w:iCs/>
      <w:sz w:val="28"/>
      <w:szCs w:val="28"/>
    </w:rPr>
  </w:style>
  <w:style w:type="table" w:styleId="Grilledutableau">
    <w:name w:val="Table Grid"/>
    <w:basedOn w:val="TableauNormal"/>
    <w:uiPriority w:val="59"/>
    <w:rsid w:val="00D75439"/>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75439"/>
    <w:pPr>
      <w:autoSpaceDE w:val="0"/>
      <w:autoSpaceDN w:val="0"/>
      <w:adjustRightInd w:val="0"/>
      <w:spacing w:after="0" w:line="240" w:lineRule="auto"/>
    </w:pPr>
    <w:rPr>
      <w:rFonts w:ascii="Georgia" w:eastAsiaTheme="minorEastAsia" w:hAnsi="Georgia" w:cs="Georgia"/>
      <w:color w:val="000000"/>
      <w:sz w:val="24"/>
      <w:szCs w:val="24"/>
      <w:lang w:eastAsia="fr-FR"/>
    </w:rPr>
  </w:style>
  <w:style w:type="paragraph" w:styleId="Paragraphedeliste">
    <w:name w:val="List Paragraph"/>
    <w:aliases w:val="Liste de points,Liste 1,Bullets,Paragraphe  revu,List Paragraph (numbered (a)),List Paragraph nowy,References,List Paragraph,Liste de pointsCxSpLast,Numbered paragraph,Numbered List Paragraph,ReferencesCxSpLast,Bullet L1,WB Para"/>
    <w:basedOn w:val="Normal"/>
    <w:link w:val="ParagraphedelisteCar"/>
    <w:uiPriority w:val="34"/>
    <w:qFormat/>
    <w:rsid w:val="00D75439"/>
    <w:pPr>
      <w:spacing w:before="120" w:after="120"/>
      <w:ind w:left="720"/>
      <w:contextualSpacing/>
      <w:jc w:val="both"/>
    </w:pPr>
    <w:rPr>
      <w:rFonts w:ascii="Times New Roman" w:eastAsia="Calibri" w:hAnsi="Times New Roman" w:cs="Times New Roman"/>
      <w:sz w:val="24"/>
      <w:lang w:eastAsia="en-US"/>
    </w:rPr>
  </w:style>
  <w:style w:type="character" w:customStyle="1" w:styleId="ParagraphedelisteCar">
    <w:name w:val="Paragraphe de liste Car"/>
    <w:aliases w:val="Liste de points Car,Liste 1 Car,Bullets Car,Paragraphe  revu Car,List Paragraph (numbered (a)) Car,List Paragraph nowy Car,References Car,List Paragraph Car,Liste de pointsCxSpLast Car,Numbered paragraph Car,Bullet L1 Car"/>
    <w:link w:val="Paragraphedeliste"/>
    <w:uiPriority w:val="34"/>
    <w:locked/>
    <w:rsid w:val="00D75439"/>
    <w:rPr>
      <w:rFonts w:ascii="Times New Roman" w:eastAsia="Calibri" w:hAnsi="Times New Roman" w:cs="Times New Roman"/>
      <w:sz w:val="24"/>
    </w:rPr>
  </w:style>
  <w:style w:type="character" w:styleId="Appeldenotedefin">
    <w:name w:val="endnote reference"/>
    <w:uiPriority w:val="99"/>
    <w:semiHidden/>
    <w:unhideWhenUsed/>
    <w:rsid w:val="00D75439"/>
    <w:rPr>
      <w:vertAlign w:val="superscript"/>
    </w:rPr>
  </w:style>
  <w:style w:type="paragraph" w:styleId="Sansinterligne">
    <w:name w:val="No Spacing"/>
    <w:link w:val="SansinterligneCar"/>
    <w:uiPriority w:val="1"/>
    <w:qFormat/>
    <w:rsid w:val="00D75439"/>
    <w:pPr>
      <w:spacing w:after="0" w:line="240" w:lineRule="auto"/>
    </w:pPr>
    <w:rPr>
      <w:rFonts w:ascii="Calibri" w:eastAsia="Calibri" w:hAnsi="Calibri" w:cs="Times New Roman"/>
    </w:rPr>
  </w:style>
  <w:style w:type="paragraph" w:customStyle="1" w:styleId="Standard">
    <w:name w:val="Standard"/>
    <w:rsid w:val="00D75439"/>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fr-FR" w:bidi="fr-FR"/>
    </w:rPr>
  </w:style>
  <w:style w:type="character" w:customStyle="1" w:styleId="SansinterligneCar">
    <w:name w:val="Sans interligne Car"/>
    <w:link w:val="Sansinterligne"/>
    <w:uiPriority w:val="1"/>
    <w:rsid w:val="00D75439"/>
    <w:rPr>
      <w:rFonts w:ascii="Calibri" w:eastAsia="Calibri" w:hAnsi="Calibri" w:cs="Times New Roman"/>
    </w:rPr>
  </w:style>
  <w:style w:type="character" w:styleId="Lienhypertexte">
    <w:name w:val="Hyperlink"/>
    <w:basedOn w:val="Policepardfaut"/>
    <w:uiPriority w:val="99"/>
    <w:unhideWhenUsed/>
    <w:rsid w:val="00D75439"/>
    <w:rPr>
      <w:color w:val="0563C1" w:themeColor="hyperlink"/>
      <w:u w:val="single"/>
    </w:rPr>
  </w:style>
  <w:style w:type="paragraph" w:styleId="En-ttedetabledesmatires">
    <w:name w:val="TOC Heading"/>
    <w:basedOn w:val="Titre1"/>
    <w:next w:val="Normal"/>
    <w:uiPriority w:val="39"/>
    <w:unhideWhenUsed/>
    <w:qFormat/>
    <w:rsid w:val="007C4220"/>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fr-FR"/>
    </w:rPr>
  </w:style>
  <w:style w:type="paragraph" w:styleId="TM1">
    <w:name w:val="toc 1"/>
    <w:basedOn w:val="Normal"/>
    <w:next w:val="Normal"/>
    <w:autoRedefine/>
    <w:uiPriority w:val="39"/>
    <w:unhideWhenUsed/>
    <w:rsid w:val="007C4220"/>
    <w:pPr>
      <w:spacing w:after="100"/>
    </w:pPr>
  </w:style>
  <w:style w:type="paragraph" w:styleId="TM2">
    <w:name w:val="toc 2"/>
    <w:basedOn w:val="Normal"/>
    <w:next w:val="Normal"/>
    <w:autoRedefine/>
    <w:uiPriority w:val="39"/>
    <w:unhideWhenUsed/>
    <w:rsid w:val="007C4220"/>
    <w:pPr>
      <w:spacing w:after="100"/>
      <w:ind w:left="220"/>
    </w:pPr>
  </w:style>
  <w:style w:type="paragraph" w:styleId="En-tte">
    <w:name w:val="header"/>
    <w:basedOn w:val="Normal"/>
    <w:link w:val="En-tteCar"/>
    <w:uiPriority w:val="99"/>
    <w:unhideWhenUsed/>
    <w:rsid w:val="002D5316"/>
    <w:pPr>
      <w:tabs>
        <w:tab w:val="center" w:pos="4536"/>
        <w:tab w:val="right" w:pos="9072"/>
      </w:tabs>
      <w:spacing w:after="0" w:line="240" w:lineRule="auto"/>
    </w:pPr>
  </w:style>
  <w:style w:type="character" w:customStyle="1" w:styleId="En-tteCar">
    <w:name w:val="En-tête Car"/>
    <w:basedOn w:val="Policepardfaut"/>
    <w:link w:val="En-tte"/>
    <w:uiPriority w:val="99"/>
    <w:rsid w:val="002D5316"/>
    <w:rPr>
      <w:rFonts w:eastAsiaTheme="minorEastAsia"/>
      <w:lang w:eastAsia="fr-FR"/>
    </w:rPr>
  </w:style>
  <w:style w:type="paragraph" w:styleId="Pieddepage">
    <w:name w:val="footer"/>
    <w:basedOn w:val="Normal"/>
    <w:link w:val="PieddepageCar"/>
    <w:uiPriority w:val="99"/>
    <w:unhideWhenUsed/>
    <w:rsid w:val="002D53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5316"/>
    <w:rPr>
      <w:rFonts w:eastAsiaTheme="minorEastAsia"/>
      <w:lang w:eastAsia="fr-FR"/>
    </w:rPr>
  </w:style>
  <w:style w:type="paragraph" w:styleId="Lgende">
    <w:name w:val="caption"/>
    <w:basedOn w:val="Normal"/>
    <w:next w:val="Normal"/>
    <w:uiPriority w:val="35"/>
    <w:unhideWhenUsed/>
    <w:qFormat/>
    <w:rsid w:val="00FA23B2"/>
    <w:pPr>
      <w:spacing w:line="240" w:lineRule="auto"/>
    </w:pPr>
    <w:rPr>
      <w:i/>
      <w:iCs/>
      <w:color w:val="44546A" w:themeColor="text2"/>
      <w:sz w:val="18"/>
      <w:szCs w:val="18"/>
    </w:rPr>
  </w:style>
  <w:style w:type="paragraph" w:styleId="Tabledesillustrations">
    <w:name w:val="table of figures"/>
    <w:basedOn w:val="Normal"/>
    <w:next w:val="Normal"/>
    <w:uiPriority w:val="99"/>
    <w:unhideWhenUsed/>
    <w:rsid w:val="00D17A1C"/>
    <w:pPr>
      <w:spacing w:after="0"/>
    </w:pPr>
  </w:style>
  <w:style w:type="paragraph" w:styleId="Textedebulles">
    <w:name w:val="Balloon Text"/>
    <w:basedOn w:val="Normal"/>
    <w:link w:val="TextedebullesCar"/>
    <w:uiPriority w:val="99"/>
    <w:semiHidden/>
    <w:unhideWhenUsed/>
    <w:rsid w:val="00A84A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4A18"/>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439"/>
    <w:pPr>
      <w:spacing w:after="200" w:line="276" w:lineRule="auto"/>
    </w:pPr>
    <w:rPr>
      <w:rFonts w:eastAsiaTheme="minorEastAsia"/>
      <w:lang w:eastAsia="fr-FR"/>
    </w:rPr>
  </w:style>
  <w:style w:type="paragraph" w:styleId="Titre1">
    <w:name w:val="heading 1"/>
    <w:basedOn w:val="Normal"/>
    <w:next w:val="Normal"/>
    <w:link w:val="Titre1Car"/>
    <w:uiPriority w:val="9"/>
    <w:qFormat/>
    <w:rsid w:val="00D75439"/>
    <w:pPr>
      <w:keepNext/>
      <w:spacing w:before="240" w:after="60"/>
      <w:jc w:val="center"/>
      <w:outlineLvl w:val="0"/>
    </w:pPr>
    <w:rPr>
      <w:rFonts w:ascii="Cambria" w:eastAsia="Times New Roman" w:hAnsi="Cambria" w:cs="Times New Roman"/>
      <w:b/>
      <w:bCs/>
      <w:kern w:val="32"/>
      <w:sz w:val="36"/>
      <w:szCs w:val="36"/>
      <w:lang w:eastAsia="en-US"/>
    </w:rPr>
  </w:style>
  <w:style w:type="paragraph" w:styleId="Titre2">
    <w:name w:val="heading 2"/>
    <w:basedOn w:val="Normal"/>
    <w:next w:val="Normal"/>
    <w:link w:val="Titre2Car"/>
    <w:uiPriority w:val="9"/>
    <w:unhideWhenUsed/>
    <w:qFormat/>
    <w:rsid w:val="00D75439"/>
    <w:pPr>
      <w:keepNext/>
      <w:spacing w:before="240" w:after="60" w:line="240" w:lineRule="auto"/>
      <w:outlineLvl w:val="1"/>
    </w:pPr>
    <w:rPr>
      <w:rFonts w:ascii="Calibri Light" w:eastAsia="Times New Roman" w:hAnsi="Calibri Light" w:cs="Times New Roman"/>
      <w:b/>
      <w:bCs/>
      <w:i/>
      <w:iCs/>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5439"/>
    <w:rPr>
      <w:rFonts w:ascii="Cambria" w:eastAsia="Times New Roman" w:hAnsi="Cambria" w:cs="Times New Roman"/>
      <w:b/>
      <w:bCs/>
      <w:kern w:val="32"/>
      <w:sz w:val="36"/>
      <w:szCs w:val="36"/>
    </w:rPr>
  </w:style>
  <w:style w:type="character" w:customStyle="1" w:styleId="Titre2Car">
    <w:name w:val="Titre 2 Car"/>
    <w:basedOn w:val="Policepardfaut"/>
    <w:link w:val="Titre2"/>
    <w:uiPriority w:val="9"/>
    <w:rsid w:val="00D75439"/>
    <w:rPr>
      <w:rFonts w:ascii="Calibri Light" w:eastAsia="Times New Roman" w:hAnsi="Calibri Light" w:cs="Times New Roman"/>
      <w:b/>
      <w:bCs/>
      <w:i/>
      <w:iCs/>
      <w:sz w:val="28"/>
      <w:szCs w:val="28"/>
    </w:rPr>
  </w:style>
  <w:style w:type="table" w:styleId="Grilledutableau">
    <w:name w:val="Table Grid"/>
    <w:basedOn w:val="TableauNormal"/>
    <w:uiPriority w:val="59"/>
    <w:rsid w:val="00D75439"/>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75439"/>
    <w:pPr>
      <w:autoSpaceDE w:val="0"/>
      <w:autoSpaceDN w:val="0"/>
      <w:adjustRightInd w:val="0"/>
      <w:spacing w:after="0" w:line="240" w:lineRule="auto"/>
    </w:pPr>
    <w:rPr>
      <w:rFonts w:ascii="Georgia" w:eastAsiaTheme="minorEastAsia" w:hAnsi="Georgia" w:cs="Georgia"/>
      <w:color w:val="000000"/>
      <w:sz w:val="24"/>
      <w:szCs w:val="24"/>
      <w:lang w:eastAsia="fr-FR"/>
    </w:rPr>
  </w:style>
  <w:style w:type="paragraph" w:styleId="Paragraphedeliste">
    <w:name w:val="List Paragraph"/>
    <w:aliases w:val="Liste de points,Liste 1,Bullets,Paragraphe  revu,List Paragraph (numbered (a)),List Paragraph nowy,References,List Paragraph,Liste de pointsCxSpLast,Numbered paragraph,Numbered List Paragraph,ReferencesCxSpLast,Bullet L1,WB Para"/>
    <w:basedOn w:val="Normal"/>
    <w:link w:val="ParagraphedelisteCar"/>
    <w:uiPriority w:val="34"/>
    <w:qFormat/>
    <w:rsid w:val="00D75439"/>
    <w:pPr>
      <w:spacing w:before="120" w:after="120"/>
      <w:ind w:left="720"/>
      <w:contextualSpacing/>
      <w:jc w:val="both"/>
    </w:pPr>
    <w:rPr>
      <w:rFonts w:ascii="Times New Roman" w:eastAsia="Calibri" w:hAnsi="Times New Roman" w:cs="Times New Roman"/>
      <w:sz w:val="24"/>
      <w:lang w:eastAsia="en-US"/>
    </w:rPr>
  </w:style>
  <w:style w:type="character" w:customStyle="1" w:styleId="ParagraphedelisteCar">
    <w:name w:val="Paragraphe de liste Car"/>
    <w:aliases w:val="Liste de points Car,Liste 1 Car,Bullets Car,Paragraphe  revu Car,List Paragraph (numbered (a)) Car,List Paragraph nowy Car,References Car,List Paragraph Car,Liste de pointsCxSpLast Car,Numbered paragraph Car,Bullet L1 Car"/>
    <w:link w:val="Paragraphedeliste"/>
    <w:uiPriority w:val="34"/>
    <w:locked/>
    <w:rsid w:val="00D75439"/>
    <w:rPr>
      <w:rFonts w:ascii="Times New Roman" w:eastAsia="Calibri" w:hAnsi="Times New Roman" w:cs="Times New Roman"/>
      <w:sz w:val="24"/>
    </w:rPr>
  </w:style>
  <w:style w:type="character" w:styleId="Appeldenotedefin">
    <w:name w:val="endnote reference"/>
    <w:uiPriority w:val="99"/>
    <w:semiHidden/>
    <w:unhideWhenUsed/>
    <w:rsid w:val="00D75439"/>
    <w:rPr>
      <w:vertAlign w:val="superscript"/>
    </w:rPr>
  </w:style>
  <w:style w:type="paragraph" w:styleId="Sansinterligne">
    <w:name w:val="No Spacing"/>
    <w:link w:val="SansinterligneCar"/>
    <w:uiPriority w:val="1"/>
    <w:qFormat/>
    <w:rsid w:val="00D75439"/>
    <w:pPr>
      <w:spacing w:after="0" w:line="240" w:lineRule="auto"/>
    </w:pPr>
    <w:rPr>
      <w:rFonts w:ascii="Calibri" w:eastAsia="Calibri" w:hAnsi="Calibri" w:cs="Times New Roman"/>
    </w:rPr>
  </w:style>
  <w:style w:type="paragraph" w:customStyle="1" w:styleId="Standard">
    <w:name w:val="Standard"/>
    <w:rsid w:val="00D75439"/>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fr-FR" w:bidi="fr-FR"/>
    </w:rPr>
  </w:style>
  <w:style w:type="character" w:customStyle="1" w:styleId="SansinterligneCar">
    <w:name w:val="Sans interligne Car"/>
    <w:link w:val="Sansinterligne"/>
    <w:uiPriority w:val="1"/>
    <w:rsid w:val="00D75439"/>
    <w:rPr>
      <w:rFonts w:ascii="Calibri" w:eastAsia="Calibri" w:hAnsi="Calibri" w:cs="Times New Roman"/>
    </w:rPr>
  </w:style>
  <w:style w:type="character" w:styleId="Lienhypertexte">
    <w:name w:val="Hyperlink"/>
    <w:basedOn w:val="Policepardfaut"/>
    <w:uiPriority w:val="99"/>
    <w:unhideWhenUsed/>
    <w:rsid w:val="00D75439"/>
    <w:rPr>
      <w:color w:val="0563C1" w:themeColor="hyperlink"/>
      <w:u w:val="single"/>
    </w:rPr>
  </w:style>
  <w:style w:type="paragraph" w:styleId="En-ttedetabledesmatires">
    <w:name w:val="TOC Heading"/>
    <w:basedOn w:val="Titre1"/>
    <w:next w:val="Normal"/>
    <w:uiPriority w:val="39"/>
    <w:unhideWhenUsed/>
    <w:qFormat/>
    <w:rsid w:val="007C4220"/>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fr-FR"/>
    </w:rPr>
  </w:style>
  <w:style w:type="paragraph" w:styleId="TM1">
    <w:name w:val="toc 1"/>
    <w:basedOn w:val="Normal"/>
    <w:next w:val="Normal"/>
    <w:autoRedefine/>
    <w:uiPriority w:val="39"/>
    <w:unhideWhenUsed/>
    <w:rsid w:val="007C4220"/>
    <w:pPr>
      <w:spacing w:after="100"/>
    </w:pPr>
  </w:style>
  <w:style w:type="paragraph" w:styleId="TM2">
    <w:name w:val="toc 2"/>
    <w:basedOn w:val="Normal"/>
    <w:next w:val="Normal"/>
    <w:autoRedefine/>
    <w:uiPriority w:val="39"/>
    <w:unhideWhenUsed/>
    <w:rsid w:val="007C4220"/>
    <w:pPr>
      <w:spacing w:after="100"/>
      <w:ind w:left="220"/>
    </w:pPr>
  </w:style>
  <w:style w:type="paragraph" w:styleId="En-tte">
    <w:name w:val="header"/>
    <w:basedOn w:val="Normal"/>
    <w:link w:val="En-tteCar"/>
    <w:uiPriority w:val="99"/>
    <w:unhideWhenUsed/>
    <w:rsid w:val="002D5316"/>
    <w:pPr>
      <w:tabs>
        <w:tab w:val="center" w:pos="4536"/>
        <w:tab w:val="right" w:pos="9072"/>
      </w:tabs>
      <w:spacing w:after="0" w:line="240" w:lineRule="auto"/>
    </w:pPr>
  </w:style>
  <w:style w:type="character" w:customStyle="1" w:styleId="En-tteCar">
    <w:name w:val="En-tête Car"/>
    <w:basedOn w:val="Policepardfaut"/>
    <w:link w:val="En-tte"/>
    <w:uiPriority w:val="99"/>
    <w:rsid w:val="002D5316"/>
    <w:rPr>
      <w:rFonts w:eastAsiaTheme="minorEastAsia"/>
      <w:lang w:eastAsia="fr-FR"/>
    </w:rPr>
  </w:style>
  <w:style w:type="paragraph" w:styleId="Pieddepage">
    <w:name w:val="footer"/>
    <w:basedOn w:val="Normal"/>
    <w:link w:val="PieddepageCar"/>
    <w:uiPriority w:val="99"/>
    <w:unhideWhenUsed/>
    <w:rsid w:val="002D53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5316"/>
    <w:rPr>
      <w:rFonts w:eastAsiaTheme="minorEastAsia"/>
      <w:lang w:eastAsia="fr-FR"/>
    </w:rPr>
  </w:style>
  <w:style w:type="paragraph" w:styleId="Lgende">
    <w:name w:val="caption"/>
    <w:basedOn w:val="Normal"/>
    <w:next w:val="Normal"/>
    <w:uiPriority w:val="35"/>
    <w:unhideWhenUsed/>
    <w:qFormat/>
    <w:rsid w:val="00FA23B2"/>
    <w:pPr>
      <w:spacing w:line="240" w:lineRule="auto"/>
    </w:pPr>
    <w:rPr>
      <w:i/>
      <w:iCs/>
      <w:color w:val="44546A" w:themeColor="text2"/>
      <w:sz w:val="18"/>
      <w:szCs w:val="18"/>
    </w:rPr>
  </w:style>
  <w:style w:type="paragraph" w:styleId="Tabledesillustrations">
    <w:name w:val="table of figures"/>
    <w:basedOn w:val="Normal"/>
    <w:next w:val="Normal"/>
    <w:uiPriority w:val="99"/>
    <w:unhideWhenUsed/>
    <w:rsid w:val="00D17A1C"/>
    <w:pPr>
      <w:spacing w:after="0"/>
    </w:pPr>
  </w:style>
  <w:style w:type="paragraph" w:styleId="Textedebulles">
    <w:name w:val="Balloon Text"/>
    <w:basedOn w:val="Normal"/>
    <w:link w:val="TextedebullesCar"/>
    <w:uiPriority w:val="99"/>
    <w:semiHidden/>
    <w:unhideWhenUsed/>
    <w:rsid w:val="00A84A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4A18"/>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795792">
      <w:bodyDiv w:val="1"/>
      <w:marLeft w:val="0"/>
      <w:marRight w:val="0"/>
      <w:marTop w:val="0"/>
      <w:marBottom w:val="0"/>
      <w:divBdr>
        <w:top w:val="none" w:sz="0" w:space="0" w:color="auto"/>
        <w:left w:val="none" w:sz="0" w:space="0" w:color="auto"/>
        <w:bottom w:val="none" w:sz="0" w:space="0" w:color="auto"/>
        <w:right w:val="none" w:sz="0" w:space="0" w:color="auto"/>
      </w:divBdr>
      <w:divsChild>
        <w:div w:id="2009627245">
          <w:marLeft w:val="0"/>
          <w:marRight w:val="0"/>
          <w:marTop w:val="0"/>
          <w:marBottom w:val="0"/>
          <w:divBdr>
            <w:top w:val="none" w:sz="0" w:space="0" w:color="auto"/>
            <w:left w:val="none" w:sz="0" w:space="0" w:color="auto"/>
            <w:bottom w:val="none" w:sz="0" w:space="0" w:color="auto"/>
            <w:right w:val="none" w:sz="0" w:space="0" w:color="auto"/>
          </w:divBdr>
        </w:div>
        <w:div w:id="1610819035">
          <w:marLeft w:val="0"/>
          <w:marRight w:val="0"/>
          <w:marTop w:val="0"/>
          <w:marBottom w:val="0"/>
          <w:divBdr>
            <w:top w:val="none" w:sz="0" w:space="0" w:color="auto"/>
            <w:left w:val="none" w:sz="0" w:space="0" w:color="auto"/>
            <w:bottom w:val="none" w:sz="0" w:space="0" w:color="auto"/>
            <w:right w:val="none" w:sz="0" w:space="0" w:color="auto"/>
          </w:divBdr>
        </w:div>
        <w:div w:id="1441535662">
          <w:marLeft w:val="0"/>
          <w:marRight w:val="0"/>
          <w:marTop w:val="0"/>
          <w:marBottom w:val="0"/>
          <w:divBdr>
            <w:top w:val="none" w:sz="0" w:space="0" w:color="auto"/>
            <w:left w:val="none" w:sz="0" w:space="0" w:color="auto"/>
            <w:bottom w:val="none" w:sz="0" w:space="0" w:color="auto"/>
            <w:right w:val="none" w:sz="0" w:space="0" w:color="auto"/>
          </w:divBdr>
        </w:div>
        <w:div w:id="586156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A78C9-556E-46BA-BB1D-BC64C3B36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3507</Words>
  <Characters>19292</Characters>
  <Application>Microsoft Office Word</Application>
  <DocSecurity>4</DocSecurity>
  <Lines>160</Lines>
  <Paragraphs>45</Paragraphs>
  <ScaleCrop>false</ScaleCrop>
  <HeadingPairs>
    <vt:vector size="2" baseType="variant">
      <vt:variant>
        <vt:lpstr>Titre</vt:lpstr>
      </vt:variant>
      <vt:variant>
        <vt:i4>1</vt:i4>
      </vt:variant>
    </vt:vector>
  </HeadingPairs>
  <TitlesOfParts>
    <vt:vector size="1" baseType="lpstr">
      <vt:lpstr>PLAN</vt:lpstr>
    </vt:vector>
  </TitlesOfParts>
  <Company/>
  <LinksUpToDate>false</LinksUpToDate>
  <CharactersWithSpaces>22754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dc:title>
  <dc:creator>PSAT</dc:creator>
  <cp:lastModifiedBy>ASSIONGBON Dede Irene Akpedze</cp:lastModifiedBy>
  <cp:revision>2</cp:revision>
  <dcterms:created xsi:type="dcterms:W3CDTF">2018-06-25T15:12:00Z</dcterms:created>
  <dcterms:modified xsi:type="dcterms:W3CDTF">2018-06-25T15:12:00Z</dcterms:modified>
</cp:coreProperties>
</file>